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pacing w:line="360" w:lineRule="auto" w:after="120"/>
        <w:jc w:val="left"/>
      </w:pPr>
      <w:r>
        <w:rPr>
          <w:rFonts w:ascii="Times New Roman" w:hAnsi="Times New Roman" w:cs="Times New Roman"/>
          <w:b w:val="0"/>
          <w:i w:val="0"/>
          <w:sz w:val="26"/>
        </w:rPr>
        <w:t>Bảng 4.4. Ảnh hưởng của viết lại truy vấn trên câu hỏi tự nhiên</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200 câu hỏi tiếng Việt bao phủ nhiều luật y tế trọng yếu (Khám bệnh chữa bệnh, Dược, An toàn thực phẩm, Bảo hiểm y tế, phòng chống tác hại thuốc lá/rượu bia, hiến mô tạng, HIV/AIDS, phòng bệnh). Trong đó 50 câu được soạn thủ công và 150 câu được sinh tự động từ tiêu đề các “Điều” thật trong từng luật rồi đặt thành câu hỏi (ground-truth = số hiệu luật chứa Điều đó). Mỗi câu được gán nhãn “văn bản liên quan” là (các) luật điều chỉnh (trung bình 2 văn bản/câu), bổ sung các Văn bản hợp nhất (VBHN) tương đương — ví dụ 39/VBHN-VPQH là bản hợp nhất Luật Dược. Chỉ mục dùng toàn bộ 367.462 đoạn. Các độ đo là Hit@k, MRR (Mục 1.7) và Precision/Recall/F1@k.</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1.2.1: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Điều này phù hợp với phân tích ở Mục 1.5: cross-encoder đọc đồng thời (câu hỏi + đoạn) nên đánh giá độ liên quan tinh tế hơn bi-encoder, đẩy được tài liệu đúng lên hạng cao. Mức cải thiện của reranker khiêm tốn hơn so với tách từ hay hybrid, và phụ thuộc chất lượng tập ứng viên đầu vào — đứng sau hybrid (tập ứng viên đa dạng hơn) thì reranker phát huy tốt hơn.</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Hit@10 từ 0,885 lên 0,960 (gần như không bỏ sót) và MRR từ 0,704 lên 0,754; kết hợp thêm reranker (cấu hình 5) cho Hit@1 cao nhất (0,650) và MRR cao nhất (0,764).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 Tổng hợp lại, cấu hình Hybrid + Reranker được chọn cho hệ thống vì cân bằng tốt nhất giữa độ chính xác ở hạng đầu (Hit@1, MRR) và độ phủ (Hit@10).</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nhiều câu trả về Văn bản hợp nhất (VBHN) tương đương thay vì luật gốc — ví dụ câu về an toàn thực phẩm trả về 61/VBHN-VPQH (bản hợp nhất Luật An toàn thực phẩm), câu về HIV trả về 33/VBHN-VPQH (bản hợp nhất Luật phòng, chống HIV/AIDS) — đúng nội dung nhưng khác số hiệu. Nếu không tính các VBHN này vào ground-truth, chỉ số sẽ bị đánh giá thấp một cách giả tạo. Vì vậy đề tài đã bổ sung VBHN tương đương vào nhãn để đánh giá công bằng — một lưu ý quan trọng khi xây dựng tập kiểm thử cho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 = 1..10 (kèm trần Precision)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4</w:t>
            </w:r>
          </w:p>
        </w:tc>
        <w:tc>
          <w:tcPr>
            <w:tcW w:type="dxa" w:w="1814"/>
          </w:tcPr>
          <w:p>
            <w:pPr>
              <w:jc w:val="center"/>
            </w:pPr>
            <w:r>
              <w:rPr>
                <w:rFonts w:ascii="Times New Roman" w:hAnsi="Times New Roman" w:cs="Times New Roman"/>
                <w:b w:val="0"/>
                <w:i w:val="0"/>
                <w:sz w:val="24"/>
              </w:rPr>
              <w:t>0,323</w:t>
            </w:r>
          </w:p>
        </w:tc>
        <w:tc>
          <w:tcPr>
            <w:tcW w:type="dxa" w:w="1814"/>
          </w:tcPr>
          <w:p>
            <w:pPr>
              <w:jc w:val="center"/>
            </w:pPr>
            <w:r>
              <w:rPr>
                <w:rFonts w:ascii="Times New Roman" w:hAnsi="Times New Roman" w:cs="Times New Roman"/>
                <w:b w:val="0"/>
                <w:i w:val="0"/>
                <w:sz w:val="24"/>
              </w:rPr>
              <w:t>0,729</w:t>
            </w:r>
          </w:p>
        </w:tc>
        <w:tc>
          <w:tcPr>
            <w:tcW w:type="dxa" w:w="1814"/>
          </w:tcPr>
          <w:p>
            <w:pPr>
              <w:jc w:val="center"/>
            </w:pPr>
            <w:r>
              <w:rPr>
                <w:rFonts w:ascii="Times New Roman" w:hAnsi="Times New Roman" w:cs="Times New Roman"/>
                <w:b w:val="0"/>
                <w:i w:val="0"/>
                <w:sz w:val="24"/>
              </w:rPr>
              <w:t>0,447</w:t>
            </w:r>
          </w:p>
        </w:tc>
        <w:tc>
          <w:tcPr>
            <w:tcW w:type="dxa" w:w="1814"/>
          </w:tcPr>
          <w:p>
            <w:pPr>
              <w:jc w:val="center"/>
            </w:pPr>
            <w:r>
              <w:rPr>
                <w:rFonts w:ascii="Times New Roman" w:hAnsi="Times New Roman" w:cs="Times New Roman"/>
                <w:b w:val="0"/>
                <w:i w:val="0"/>
                <w:sz w:val="24"/>
              </w:rPr>
              <w:t>0,500</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6</w:t>
            </w:r>
          </w:p>
        </w:tc>
        <w:tc>
          <w:tcPr>
            <w:tcW w:type="dxa" w:w="1814"/>
          </w:tcPr>
          <w:p>
            <w:pPr>
              <w:jc w:val="center"/>
            </w:pPr>
            <w:r>
              <w:rPr>
                <w:rFonts w:ascii="Times New Roman" w:hAnsi="Times New Roman" w:cs="Times New Roman"/>
                <w:b w:val="0"/>
                <w:i w:val="0"/>
                <w:sz w:val="24"/>
              </w:rPr>
              <w:t>0,232</w:t>
            </w:r>
          </w:p>
        </w:tc>
        <w:tc>
          <w:tcPr>
            <w:tcW w:type="dxa" w:w="1814"/>
          </w:tcPr>
          <w:p>
            <w:pPr>
              <w:jc w:val="center"/>
            </w:pPr>
            <w:r>
              <w:rPr>
                <w:rFonts w:ascii="Times New Roman" w:hAnsi="Times New Roman" w:cs="Times New Roman"/>
                <w:b w:val="0"/>
                <w:i w:val="0"/>
                <w:sz w:val="24"/>
              </w:rPr>
              <w:t>0,770</w:t>
            </w:r>
          </w:p>
        </w:tc>
        <w:tc>
          <w:tcPr>
            <w:tcW w:type="dxa" w:w="1814"/>
          </w:tcPr>
          <w:p>
            <w:pPr>
              <w:jc w:val="center"/>
            </w:pPr>
            <w:r>
              <w:rPr>
                <w:rFonts w:ascii="Times New Roman" w:hAnsi="Times New Roman" w:cs="Times New Roman"/>
                <w:b w:val="0"/>
                <w:i w:val="0"/>
                <w:sz w:val="24"/>
              </w:rPr>
              <w:t>0,356</w:t>
            </w:r>
          </w:p>
        </w:tc>
        <w:tc>
          <w:tcPr>
            <w:tcW w:type="dxa" w:w="1814"/>
          </w:tcPr>
          <w:p>
            <w:pPr>
              <w:jc w:val="center"/>
            </w:pPr>
            <w:r>
              <w:rPr>
                <w:rFonts w:ascii="Times New Roman" w:hAnsi="Times New Roman" w:cs="Times New Roman"/>
                <w:b w:val="0"/>
                <w:i w:val="0"/>
                <w:sz w:val="24"/>
              </w:rPr>
              <w:t>0,333</w:t>
            </w:r>
          </w:p>
        </w:tc>
      </w:tr>
      <w:tr>
        <w:tc>
          <w:tcPr>
            <w:tcW w:type="dxa" w:w="1814"/>
          </w:tcPr>
          <w:p>
            <w:pPr>
              <w:jc w:val="left"/>
            </w:pPr>
            <w:r>
              <w:rPr>
                <w:rFonts w:ascii="Times New Roman" w:hAnsi="Times New Roman" w:cs="Times New Roman"/>
                <w:b w:val="0"/>
                <w:i w:val="0"/>
                <w:sz w:val="24"/>
              </w:rPr>
              <w:t>7</w:t>
            </w:r>
          </w:p>
        </w:tc>
        <w:tc>
          <w:tcPr>
            <w:tcW w:type="dxa" w:w="1814"/>
          </w:tcPr>
          <w:p>
            <w:pPr>
              <w:jc w:val="center"/>
            </w:pPr>
            <w:r>
              <w:rPr>
                <w:rFonts w:ascii="Times New Roman" w:hAnsi="Times New Roman" w:cs="Times New Roman"/>
                <w:b w:val="0"/>
                <w:i w:val="0"/>
                <w:sz w:val="24"/>
              </w:rPr>
              <w:t>0,202</w:t>
            </w:r>
          </w:p>
        </w:tc>
        <w:tc>
          <w:tcPr>
            <w:tcW w:type="dxa" w:w="1814"/>
          </w:tcPr>
          <w:p>
            <w:pPr>
              <w:jc w:val="center"/>
            </w:pPr>
            <w:r>
              <w:rPr>
                <w:rFonts w:ascii="Times New Roman" w:hAnsi="Times New Roman" w:cs="Times New Roman"/>
                <w:b w:val="0"/>
                <w:i w:val="0"/>
                <w:sz w:val="24"/>
              </w:rPr>
              <w:t>0,780</w:t>
            </w:r>
          </w:p>
        </w:tc>
        <w:tc>
          <w:tcPr>
            <w:tcW w:type="dxa" w:w="1814"/>
          </w:tcPr>
          <w:p>
            <w:pPr>
              <w:jc w:val="center"/>
            </w:pPr>
            <w:r>
              <w:rPr>
                <w:rFonts w:ascii="Times New Roman" w:hAnsi="Times New Roman" w:cs="Times New Roman"/>
                <w:b w:val="0"/>
                <w:i w:val="0"/>
                <w:sz w:val="24"/>
              </w:rPr>
              <w:t>0,321</w:t>
            </w:r>
          </w:p>
        </w:tc>
        <w:tc>
          <w:tcPr>
            <w:tcW w:type="dxa" w:w="1814"/>
          </w:tcPr>
          <w:p>
            <w:pPr>
              <w:jc w:val="center"/>
            </w:pPr>
            <w:r>
              <w:rPr>
                <w:rFonts w:ascii="Times New Roman" w:hAnsi="Times New Roman" w:cs="Times New Roman"/>
                <w:b w:val="0"/>
                <w:i w:val="0"/>
                <w:sz w:val="24"/>
              </w:rPr>
              <w:t>0,286</w:t>
            </w:r>
          </w:p>
        </w:tc>
      </w:tr>
      <w:tr>
        <w:tc>
          <w:tcPr>
            <w:tcW w:type="dxa" w:w="1814"/>
          </w:tcPr>
          <w:p>
            <w:pPr>
              <w:jc w:val="left"/>
            </w:pPr>
            <w:r>
              <w:rPr>
                <w:rFonts w:ascii="Times New Roman" w:hAnsi="Times New Roman" w:cs="Times New Roman"/>
                <w:b w:val="0"/>
                <w:i w:val="0"/>
                <w:sz w:val="24"/>
              </w:rPr>
              <w:t>8</w:t>
            </w:r>
          </w:p>
        </w:tc>
        <w:tc>
          <w:tcPr>
            <w:tcW w:type="dxa" w:w="1814"/>
          </w:tcPr>
          <w:p>
            <w:pPr>
              <w:jc w:val="center"/>
            </w:pPr>
            <w:r>
              <w:rPr>
                <w:rFonts w:ascii="Times New Roman" w:hAnsi="Times New Roman" w:cs="Times New Roman"/>
                <w:b w:val="0"/>
                <w:i w:val="0"/>
                <w:sz w:val="24"/>
              </w:rPr>
              <w:t>0,180</w:t>
            </w:r>
          </w:p>
        </w:tc>
        <w:tc>
          <w:tcPr>
            <w:tcW w:type="dxa" w:w="1814"/>
          </w:tcPr>
          <w:p>
            <w:pPr>
              <w:jc w:val="center"/>
            </w:pPr>
            <w:r>
              <w:rPr>
                <w:rFonts w:ascii="Times New Roman" w:hAnsi="Times New Roman" w:cs="Times New Roman"/>
                <w:b w:val="0"/>
                <w:i w:val="0"/>
                <w:sz w:val="24"/>
              </w:rPr>
              <w:t>0,791</w:t>
            </w:r>
          </w:p>
        </w:tc>
        <w:tc>
          <w:tcPr>
            <w:tcW w:type="dxa" w:w="1814"/>
          </w:tcPr>
          <w:p>
            <w:pPr>
              <w:jc w:val="center"/>
            </w:pPr>
            <w:r>
              <w:rPr>
                <w:rFonts w:ascii="Times New Roman" w:hAnsi="Times New Roman" w:cs="Times New Roman"/>
                <w:b w:val="0"/>
                <w:i w:val="0"/>
                <w:sz w:val="24"/>
              </w:rPr>
              <w:t>0,293</w:t>
            </w:r>
          </w:p>
        </w:tc>
        <w:tc>
          <w:tcPr>
            <w:tcW w:type="dxa" w:w="1814"/>
          </w:tcPr>
          <w:p>
            <w:pPr>
              <w:jc w:val="center"/>
            </w:pPr>
            <w:r>
              <w:rPr>
                <w:rFonts w:ascii="Times New Roman" w:hAnsi="Times New Roman" w:cs="Times New Roman"/>
                <w:b w:val="0"/>
                <w:i w:val="0"/>
                <w:sz w:val="24"/>
              </w:rPr>
              <w:t>0,250</w:t>
            </w:r>
          </w:p>
        </w:tc>
      </w:tr>
      <w:tr>
        <w:tc>
          <w:tcPr>
            <w:tcW w:type="dxa" w:w="1814"/>
          </w:tcPr>
          <w:p>
            <w:pPr>
              <w:jc w:val="left"/>
            </w:pPr>
            <w:r>
              <w:rPr>
                <w:rFonts w:ascii="Times New Roman" w:hAnsi="Times New Roman" w:cs="Times New Roman"/>
                <w:b w:val="0"/>
                <w:i w:val="0"/>
                <w:sz w:val="24"/>
              </w:rPr>
              <w:t>9</w:t>
            </w:r>
          </w:p>
        </w:tc>
        <w:tc>
          <w:tcPr>
            <w:tcW w:type="dxa" w:w="1814"/>
          </w:tcPr>
          <w:p>
            <w:pPr>
              <w:jc w:val="center"/>
            </w:pPr>
            <w:r>
              <w:rPr>
                <w:rFonts w:ascii="Times New Roman" w:hAnsi="Times New Roman" w:cs="Times New Roman"/>
                <w:b w:val="0"/>
                <w:i w:val="0"/>
                <w:sz w:val="24"/>
              </w:rPr>
              <w:t>0,161</w:t>
            </w:r>
          </w:p>
        </w:tc>
        <w:tc>
          <w:tcPr>
            <w:tcW w:type="dxa" w:w="1814"/>
          </w:tcPr>
          <w:p>
            <w:pPr>
              <w:jc w:val="center"/>
            </w:pPr>
            <w:r>
              <w:rPr>
                <w:rFonts w:ascii="Times New Roman" w:hAnsi="Times New Roman" w:cs="Times New Roman"/>
                <w:b w:val="0"/>
                <w:i w:val="0"/>
                <w:sz w:val="24"/>
              </w:rPr>
              <w:t>0,793</w:t>
            </w:r>
          </w:p>
        </w:tc>
        <w:tc>
          <w:tcPr>
            <w:tcW w:type="dxa" w:w="1814"/>
          </w:tcPr>
          <w:p>
            <w:pPr>
              <w:jc w:val="center"/>
            </w:pPr>
            <w:r>
              <w:rPr>
                <w:rFonts w:ascii="Times New Roman" w:hAnsi="Times New Roman" w:cs="Times New Roman"/>
                <w:b w:val="0"/>
                <w:i w:val="0"/>
                <w:sz w:val="24"/>
              </w:rPr>
              <w:t>0,267</w:t>
            </w:r>
          </w:p>
        </w:tc>
        <w:tc>
          <w:tcPr>
            <w:tcW w:type="dxa" w:w="1814"/>
          </w:tcPr>
          <w:p>
            <w:pPr>
              <w:jc w:val="center"/>
            </w:pPr>
            <w:r>
              <w:rPr>
                <w:rFonts w:ascii="Times New Roman" w:hAnsi="Times New Roman" w:cs="Times New Roman"/>
                <w:b w:val="0"/>
                <w:i w:val="0"/>
                <w:sz w:val="24"/>
              </w:rPr>
              <w:t>0,222</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spacing w:after="120"/>
      </w:pPr>
    </w:p>
    <w:p>
      <w:pPr>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after="200"/>
        <w:jc w:val="center"/>
      </w:pPr>
      <w:r>
        <w:rPr>
          <w:rFonts w:ascii="Times New Roman" w:hAnsi="Times New Roman" w:cs="Times New Roman"/>
          <w:b/>
          <w:i w:val="0"/>
          <w:sz w:val="24"/>
        </w:rPr>
        <w:t>Hình 4.2. Precision/Recall/F1 và trần Precision theo số nguồn k</w:t>
      </w:r>
    </w:p>
    <w:p>
      <w:pPr>
        <w:spacing w:line="360" w:lineRule="auto" w:after="120"/>
        <w:ind w:firstLine="567"/>
        <w:jc w:val="both"/>
      </w:pPr>
      <w:r>
        <w:rPr>
          <w:rFonts w:ascii="Times New Roman" w:hAnsi="Times New Roman" w:cs="Times New Roman"/>
          <w:b w:val="0"/>
          <w:i w:val="0"/>
          <w:sz w:val="26"/>
        </w:rPr>
        <w:t>Quét chi tiết k = 1..10 (Hình 4.2) thể hiện rõ đánh đổi kinh điển: khi k tăng, Recall tăng đều (0,436 → 0,806) trong khi Precision giảm (0,650 → 0,146). F1 — trung bình điều hòa của hai đại lượng — đạt cực đại tại k = 2 (0,555); việc quét thô (chỉ k = 1, 3, 5, 10) dễ bỏ sót điểm cực đại này, cho thấy giá trị của khảo sát dải k mịn.</w:t>
      </w:r>
    </w:p>
    <w:p>
      <w:pPr>
        <w:spacing w:line="360" w:lineRule="auto" w:after="120"/>
        <w:ind w:firstLine="567"/>
        <w:jc w:val="both"/>
      </w:pPr>
      <w:r>
        <w:rPr>
          <w:rFonts w:ascii="Times New Roman" w:hAnsi="Times New Roman" w:cs="Times New Roman"/>
          <w:b w:val="0"/>
          <w:i w:val="0"/>
          <w:sz w:val="26"/>
        </w:rPr>
        <w:t>So sánh ba thông số: Precision phản ánh độ “sạch” (ít nhiễu) còn Recall phản ánh độ “phủ” (ít bỏ sót); F1 cân bằng hai mặt. Vùng k = 2–3 cho F1 cao nhất nên tối ưu nếu ưu tiên độ chính xác của tập nguồn. Tuy nhiên, với bài toán sinh câu trả lời, việc cung cấp thêm ngữ cảnh (Recall cao hơn) thường có lợi cho LLM; vì vậy hệ thống chọn k = 5 làm mặc định — nơi Recall đã đạt ~0,75 mà ngữ cảnh chưa quá loãng. Đây là sự phân biệt giữa “k tối ưu cho truy xuất” (k≈2) và “k phù hợp cho sinh” (k≈5).</w:t>
      </w:r>
    </w:p>
    <w:p>
      <w:pPr>
        <w:spacing w:line="360" w:lineRule="auto" w:after="120"/>
        <w:ind w:firstLine="567"/>
        <w:jc w:val="both"/>
      </w:pPr>
      <w:r>
        <w:rPr>
          <w:rFonts w:ascii="Times New Roman" w:hAnsi="Times New Roman" w:cs="Times New Roman"/>
          <w:b w:val="0"/>
          <w:i w:val="0"/>
          <w:sz w:val="26"/>
        </w:rPr>
        <w:t>Một điểm phương pháp quan trọng: do mỗi câu chỉ có trung bình 2 văn bản liên quan, Precision bị chặn bởi trần P@k = min(|liên quan|, k)/k (đường nét đứt, Hình 4.2). Do đó Precision giảm theo k chủ yếu là hệ quả của trần giảm, không phải truy xuất kém đi — bằng chứng là tỷ lệ Precision đạt được so với trần lại TĂNG theo k (từ 65% ở k=1 lên 73% ở k=10). Khuyến nghị: khi báo cáo Precision trong miền có ít văn bản liên quan, nên trình bày kèm trần Precision hoặc dùng thêm MAP/nDCG để tránh hiểu nhầm.</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7,4 giây/câu; thời gian sinh câu trả lời trung bình khoảng 45 giây/câu.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2"/>
        <w:keepNext/>
        <w:spacing w:before="200" w:after="80"/>
      </w:pPr>
      <w:r>
        <w:rPr>
          <w:rFonts w:ascii="Times New Roman" w:hAnsi="Times New Roman" w:cs="Times New Roman"/>
          <w:b/>
          <w:i w:val="0"/>
          <w:color w:val="000000"/>
          <w:sz w:val="26"/>
        </w:rPr>
        <w:t>4.11. Thử thách với câu hỏi diễn đạt tự nhiên và thẩm định ground-truth</w:t>
      </w:r>
    </w:p>
    <w:p>
      <w:pPr>
        <w:spacing w:line="360" w:lineRule="auto" w:after="120"/>
        <w:ind w:firstLine="567"/>
        <w:jc w:val="both"/>
      </w:pPr>
      <w:r>
        <w:rPr>
          <w:rFonts w:ascii="Times New Roman" w:hAnsi="Times New Roman" w:cs="Times New Roman"/>
          <w:b w:val="0"/>
          <w:i w:val="0"/>
          <w:sz w:val="26"/>
        </w:rPr>
        <w:t>Để kiểm tra hệ thống trong điều kiện gần thực tế hơn, đề tài bổ sung 30 câu hỏi diễn đạt tự nhiên theo kiểu người dân thường hỏi, cố ý không dùng từ vựng pháp lý (ví dụ: “Tôi muốn mở quầy thuốc ở quê thì cần bằng cấp gì?”, “Uống bia rồi lái xe máy về nhà có vi phạm không?”). Kết quả trên nhóm này thấp hơn rõ rệt so với nhóm câu mẫu: Hit@1 = 0,200 (so với 0,650), Hit@10 = 0,467 (so với 0,940), MRR = 0,271 (so với 0,764).</w:t>
      </w:r>
    </w:p>
    <w:p>
      <w:pPr>
        <w:spacing w:line="360" w:lineRule="auto" w:after="120"/>
        <w:ind w:firstLine="567"/>
        <w:jc w:val="both"/>
      </w:pPr>
      <w:r>
        <w:rPr>
          <w:rFonts w:ascii="Times New Roman" w:hAnsi="Times New Roman" w:cs="Times New Roman"/>
          <w:b w:val="0"/>
          <w:i w:val="0"/>
          <w:sz w:val="26"/>
        </w:rPr>
        <w:t>Phân tích các trường hợp trượt cho thấy hai nguyên nhân. Thứ nhất là khoảng cách từ vựng (lexical gap): câu hỏi đời thường (“mở quán ăn nhỏ”, “bằng cấp”) khác xa ngôn ngữ pháp lý (“cơ sở kinh doanh dịch vụ ăn uống”, “chứng chỉ hành nghề”), khiến cả BM25 lẫn embedding khó bắc cầu. Thứ hai là tính nghiêm ngặt của ground-truth: nhiều câu top-1 trả về văn bản dưới luật rất sát nhu cầu thực tế — ví dụ câu về bác sĩ nước ngoài và yêu cầu tiếng Việt trả về Nghị định 96/2023/NĐ-CP (nghị định hướng dẫn Luật Khám bệnh, chữa bệnh), câu về bảo hiểm y tế sinh viên trả về công văn hướng dẫn của Bộ Giáo dục — đúng nội dung nhưng không trùng số hiệu luật được gán nhãn, nên bị tính trượt. Như vậy con số 0,200 là cận dưới; chất lượng cảm nhận thực tế cao hơn.</w:t>
      </w:r>
    </w:p>
    <w:p>
      <w:pPr>
        <w:spacing w:line="360" w:lineRule="auto" w:after="120"/>
        <w:ind w:firstLine="567"/>
        <w:jc w:val="both"/>
      </w:pPr>
      <w:r>
        <w:rPr>
          <w:rFonts w:ascii="Times New Roman" w:hAnsi="Times New Roman" w:cs="Times New Roman"/>
          <w:b w:val="0"/>
          <w:i w:val="0"/>
          <w:sz w:val="26"/>
        </w:rPr>
        <w:t>Phát hiện này chỉ ra hai hướng cải tiến rõ ràng: (i) bổ sung bước viết lại truy vấn (query rewriting) — chuyển câu hỏi đời thường sang ngôn ngữ pháp lý trước khi truy xuất; và (ii) mở rộng ground-truth sang cả văn bản dưới luật liên quan. Đồng thời, để bảo đảm độ tin cậy của nhãn, đề tài đã lập Phiếu thẩm định bộ câu hỏi (toàn bộ 230 câu kèm nhãn, tệp PhieuThamDinh_BoCauHoi.docx) để chuyên gia pháp lý/giảng viên hướng dẫn rà soát và xác nhận — đưa quy trình đánh giá tiến gần chuẩn mực xây dựng tập kiểm thử có thẩm định.</w:t>
      </w:r>
    </w:p>
    <w:p>
      <w:pPr>
        <w:pStyle w:val="Heading2"/>
        <w:keepNext/>
        <w:spacing w:before="200" w:after="80"/>
      </w:pPr>
      <w:r>
        <w:rPr>
          <w:rFonts w:ascii="Times New Roman" w:hAnsi="Times New Roman" w:cs="Times New Roman"/>
          <w:b/>
          <w:i w:val="0"/>
          <w:color w:val="000000"/>
          <w:sz w:val="26"/>
        </w:rPr>
        <w:t>4.12. Thí nghiệm 6 — Thử nghiệm viết lại truy vấn (query rewriting)</w:t>
      </w:r>
    </w:p>
    <w:p>
      <w:pPr>
        <w:spacing w:line="360" w:lineRule="auto" w:after="120"/>
        <w:ind w:firstLine="567"/>
        <w:jc w:val="both"/>
      </w:pPr>
      <w:r>
        <w:rPr>
          <w:rFonts w:ascii="Times New Roman" w:hAnsi="Times New Roman" w:cs="Times New Roman"/>
          <w:b w:val="0"/>
          <w:i w:val="0"/>
          <w:sz w:val="26"/>
        </w:rPr>
        <w:t>Hướng cải tiến (i) ở trên được kiểm chứng ngay trong đề tài: dùng chính PhoGPT-4B viết lại 30 câu hỏi tự nhiên sang ngôn ngữ pháp lý (prompt few-shot gồm 3 ví dụ mẫu), sau đó truy xuất lại bằng (a) câu viết lại và (b) câu gốc ghép câu viết lại. Kết quả ở Bảng 4.4.</w:t>
      </w:r>
    </w:p>
    <w:p>
      <w:pPr>
        <w:spacing w:before="120"/>
        <w:jc w:val="center"/>
      </w:pPr>
      <w:r>
        <w:rPr>
          <w:rFonts w:ascii="Times New Roman" w:hAnsi="Times New Roman" w:cs="Times New Roman"/>
          <w:b/>
          <w:i w:val="0"/>
          <w:sz w:val="24"/>
        </w:rPr>
        <w:t>Bảng 4.4. Ảnh hưởng của viết lại truy vấn trên 30 câu hỏi tự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Biến thể truy vấn</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Câu gốc (baseline)</w:t>
            </w:r>
          </w:p>
        </w:tc>
        <w:tc>
          <w:tcPr>
            <w:tcW w:type="dxa" w:w="1512"/>
          </w:tcPr>
          <w:p>
            <w:pPr>
              <w:jc w:val="center"/>
            </w:pPr>
            <w:r>
              <w:rPr>
                <w:rFonts w:ascii="Times New Roman" w:hAnsi="Times New Roman" w:cs="Times New Roman"/>
                <w:b w:val="0"/>
                <w:i w:val="0"/>
                <w:sz w:val="24"/>
              </w:rPr>
              <w:t>0,200</w:t>
            </w:r>
          </w:p>
        </w:tc>
        <w:tc>
          <w:tcPr>
            <w:tcW w:type="dxa" w:w="1512"/>
          </w:tcPr>
          <w:p>
            <w:pPr>
              <w:jc w:val="center"/>
            </w:pPr>
            <w:r>
              <w:rPr>
                <w:rFonts w:ascii="Times New Roman" w:hAnsi="Times New Roman" w:cs="Times New Roman"/>
                <w:b w:val="0"/>
                <w:i w:val="0"/>
                <w:sz w:val="24"/>
              </w:rPr>
              <w:t>0,267</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0,467</w:t>
            </w:r>
          </w:p>
        </w:tc>
        <w:tc>
          <w:tcPr>
            <w:tcW w:type="dxa" w:w="1512"/>
          </w:tcPr>
          <w:p>
            <w:pPr>
              <w:jc w:val="center"/>
            </w:pPr>
            <w:r>
              <w:rPr>
                <w:rFonts w:ascii="Times New Roman" w:hAnsi="Times New Roman" w:cs="Times New Roman"/>
                <w:b w:val="0"/>
                <w:i w:val="0"/>
                <w:sz w:val="24"/>
              </w:rPr>
              <w:t>0,271</w:t>
            </w:r>
          </w:p>
        </w:tc>
      </w:tr>
      <w:tr>
        <w:tc>
          <w:tcPr>
            <w:tcW w:type="dxa" w:w="1512"/>
          </w:tcPr>
          <w:p>
            <w:pPr>
              <w:jc w:val="left"/>
            </w:pPr>
            <w:r>
              <w:rPr>
                <w:rFonts w:ascii="Times New Roman" w:hAnsi="Times New Roman" w:cs="Times New Roman"/>
                <w:b w:val="0"/>
                <w:i w:val="0"/>
                <w:sz w:val="24"/>
              </w:rPr>
              <w:t>Câu viết lại (rewrite)</w:t>
            </w:r>
          </w:p>
        </w:tc>
        <w:tc>
          <w:tcPr>
            <w:tcW w:type="dxa" w:w="1512"/>
          </w:tcPr>
          <w:p>
            <w:pPr>
              <w:jc w:val="center"/>
            </w:pPr>
            <w:r>
              <w:rPr>
                <w:rFonts w:ascii="Times New Roman" w:hAnsi="Times New Roman" w:cs="Times New Roman"/>
                <w:b w:val="0"/>
                <w:i w:val="0"/>
                <w:sz w:val="24"/>
              </w:rPr>
              <w:t>0,167</w:t>
            </w:r>
          </w:p>
        </w:tc>
        <w:tc>
          <w:tcPr>
            <w:tcW w:type="dxa" w:w="1512"/>
          </w:tcPr>
          <w:p>
            <w:pPr>
              <w:jc w:val="center"/>
            </w:pPr>
            <w:r>
              <w:rPr>
                <w:rFonts w:ascii="Times New Roman" w:hAnsi="Times New Roman" w:cs="Times New Roman"/>
                <w:b w:val="0"/>
                <w:i w:val="0"/>
                <w:sz w:val="24"/>
              </w:rPr>
              <w:t>0,233</w:t>
            </w:r>
          </w:p>
        </w:tc>
        <w:tc>
          <w:tcPr>
            <w:tcW w:type="dxa" w:w="1512"/>
          </w:tcPr>
          <w:p>
            <w:pPr>
              <w:jc w:val="center"/>
            </w:pPr>
            <w:r>
              <w:rPr>
                <w:rFonts w:ascii="Times New Roman" w:hAnsi="Times New Roman" w:cs="Times New Roman"/>
                <w:b w:val="0"/>
                <w:i w:val="0"/>
                <w:sz w:val="24"/>
              </w:rPr>
              <w:t>0,400</w:t>
            </w:r>
          </w:p>
        </w:tc>
        <w:tc>
          <w:tcPr>
            <w:tcW w:type="dxa" w:w="1512"/>
          </w:tcPr>
          <w:p>
            <w:pPr>
              <w:jc w:val="center"/>
            </w:pPr>
            <w:r>
              <w:rPr>
                <w:rFonts w:ascii="Times New Roman" w:hAnsi="Times New Roman" w:cs="Times New Roman"/>
                <w:b w:val="0"/>
                <w:i w:val="0"/>
                <w:sz w:val="24"/>
              </w:rPr>
              <w:t>0,533</w:t>
            </w:r>
          </w:p>
        </w:tc>
        <w:tc>
          <w:tcPr>
            <w:tcW w:type="dxa" w:w="1512"/>
          </w:tcPr>
          <w:p>
            <w:pPr>
              <w:jc w:val="center"/>
            </w:pPr>
            <w:r>
              <w:rPr>
                <w:rFonts w:ascii="Times New Roman" w:hAnsi="Times New Roman" w:cs="Times New Roman"/>
                <w:b w:val="0"/>
                <w:i w:val="0"/>
                <w:sz w:val="24"/>
              </w:rPr>
              <w:t>0,258</w:t>
            </w:r>
          </w:p>
        </w:tc>
      </w:tr>
      <w:tr>
        <w:tc>
          <w:tcPr>
            <w:tcW w:type="dxa" w:w="1512"/>
          </w:tcPr>
          <w:p>
            <w:pPr>
              <w:jc w:val="left"/>
            </w:pPr>
            <w:r>
              <w:rPr>
                <w:rFonts w:ascii="Times New Roman" w:hAnsi="Times New Roman" w:cs="Times New Roman"/>
                <w:b w:val="0"/>
                <w:i w:val="0"/>
                <w:sz w:val="24"/>
              </w:rPr>
              <w:t>Gốc + viết lại (combo)</w:t>
            </w:r>
          </w:p>
        </w:tc>
        <w:tc>
          <w:tcPr>
            <w:tcW w:type="dxa" w:w="1512"/>
          </w:tcPr>
          <w:p>
            <w:pPr>
              <w:jc w:val="center"/>
            </w:pPr>
            <w:r>
              <w:rPr>
                <w:rFonts w:ascii="Times New Roman" w:hAnsi="Times New Roman" w:cs="Times New Roman"/>
                <w:b w:val="0"/>
                <w:i w:val="0"/>
                <w:sz w:val="24"/>
              </w:rPr>
              <w:t>0,133</w:t>
            </w:r>
          </w:p>
        </w:tc>
        <w:tc>
          <w:tcPr>
            <w:tcW w:type="dxa" w:w="1512"/>
          </w:tcPr>
          <w:p>
            <w:pPr>
              <w:jc w:val="center"/>
            </w:pPr>
            <w:r>
              <w:rPr>
                <w:rFonts w:ascii="Times New Roman" w:hAnsi="Times New Roman" w:cs="Times New Roman"/>
                <w:b w:val="0"/>
                <w:i w:val="0"/>
                <w:sz w:val="24"/>
              </w:rPr>
              <w:t>0,300</w:t>
            </w:r>
          </w:p>
        </w:tc>
        <w:tc>
          <w:tcPr>
            <w:tcW w:type="dxa" w:w="1512"/>
          </w:tcPr>
          <w:p>
            <w:pPr>
              <w:jc w:val="center"/>
            </w:pPr>
            <w:r>
              <w:rPr>
                <w:rFonts w:ascii="Times New Roman" w:hAnsi="Times New Roman" w:cs="Times New Roman"/>
                <w:b w:val="0"/>
                <w:i w:val="0"/>
                <w:sz w:val="24"/>
              </w:rPr>
              <w:t>0,367</w:t>
            </w:r>
          </w:p>
        </w:tc>
        <w:tc>
          <w:tcPr>
            <w:tcW w:type="dxa" w:w="1512"/>
          </w:tcPr>
          <w:p>
            <w:pPr>
              <w:jc w:val="center"/>
            </w:pPr>
            <w:r>
              <w:rPr>
                <w:rFonts w:ascii="Times New Roman" w:hAnsi="Times New Roman" w:cs="Times New Roman"/>
                <w:b w:val="0"/>
                <w:i w:val="0"/>
                <w:sz w:val="24"/>
              </w:rPr>
              <w:t>0,433</w:t>
            </w:r>
          </w:p>
        </w:tc>
        <w:tc>
          <w:tcPr>
            <w:tcW w:type="dxa" w:w="1512"/>
          </w:tcPr>
          <w:p>
            <w:pPr>
              <w:jc w:val="center"/>
            </w:pPr>
            <w:r>
              <w:rPr>
                <w:rFonts w:ascii="Times New Roman" w:hAnsi="Times New Roman" w:cs="Times New Roman"/>
                <w:b w:val="0"/>
                <w:i w:val="0"/>
                <w:sz w:val="24"/>
              </w:rPr>
              <w:t>0,219</w:t>
            </w:r>
          </w:p>
        </w:tc>
      </w:tr>
    </w:tbl>
    <w:p>
      <w:pPr>
        <w:spacing w:after="120"/>
      </w:pPr>
    </w:p>
    <w:p>
      <w:pPr>
        <w:spacing w:line="360" w:lineRule="auto" w:after="120"/>
        <w:ind w:firstLine="567"/>
        <w:jc w:val="both"/>
      </w:pPr>
      <w:r>
        <w:rPr>
          <w:rFonts w:ascii="Times New Roman" w:hAnsi="Times New Roman" w:cs="Times New Roman"/>
          <w:b w:val="0"/>
          <w:i w:val="0"/>
          <w:sz w:val="26"/>
        </w:rPr>
        <w:t>Kết quả là một “kết quả âm” (negative result) có giá trị: viết lại bằng PhoGPT-4B không cải thiện tổng thể (MRR giảm 0,271 → 0,258), dù Hit@10 tăng từ 0,467 lên 0,533 cho thấy ý tưởng có tiềm năng ở vùng truy xuất rộng. Phân tích thủ công 30 câu viết lại chỉ ra nguyên nhân nằm ở năng lực mô hình viết lại, không phải ở ý tưởng: 15/30 câu bị giữ nguyên (mô hình không viết lại); 13/30 câu bị mô hình trả lời luôn thay vì viết lại; 8/30 câu bị chèn trích dẫn tự bịa (ví dụ dẫn “Điều 32 Luật Khám bệnh, chữa bệnh năm 2009” hoặc “Nghị định 11/2016/NĐ-CP” — sai hoặc đã lỗi thời), thậm chí có câu bị viết lại sang sai lĩnh vực.</w:t>
      </w:r>
    </w:p>
    <w:p>
      <w:pPr>
        <w:spacing w:line="360" w:lineRule="auto" w:after="120"/>
        <w:ind w:firstLine="567"/>
        <w:jc w:val="both"/>
      </w:pPr>
      <w:r>
        <w:rPr>
          <w:rFonts w:ascii="Times New Roman" w:hAnsi="Times New Roman" w:cs="Times New Roman"/>
          <w:b w:val="0"/>
          <w:i w:val="0"/>
          <w:sz w:val="26"/>
        </w:rPr>
        <w:t>Kết luận của thí nghiệm: nút thắt của query rewriting là năng lực tuân thủ chỉ dẫn (instruction-following) của mô hình 3,7 tỷ tham số đã lượng tử hóa — không đủ để thực hiện ổn định một tác vụ biến đổi văn bản có ràng buộc. Hướng khắc phục khả thi: (i) dùng một LLM mạnh hơn chỉ riêng cho bước viết lại (bước này không yêu cầu chạy cục bộ vì không chạm dữ liệu nhạy cảm); (ii) xây từ điển ánh xạ cụm từ đời thường → thuật ngữ pháp lý (mở quán ăn → cơ sở kinh doanh dịch vụ ăn uống) như một bước thay thế nhẹ và kiểm soát được. Việc thử nghiệm, định lượng nguyên nhân thất bại và đề xuất thay thế là một phần đóng góp về phương pháp của đề tài.</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gồm 230 câu (50 soạn thủ công, 150 sinh từ tiêu đề Điều, 30 diễn đạt tự nhiên); kết quả trên nhóm câu tự nhiên thấp hơn rõ rệt (Mục 4.11) cho thấy khoảng cách từ vựng đời thường–pháp lý còn là thách thức. Phiếu thẩm định ground-truth đã lập nhưng cần chuyên gia pháp lý xác nhận chính thức.</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Hoàn thiện bước viết lại truy vấn: thử nghiệm với PhoGPT-4B chưa thành công do hạn chế instruction-following (Mục 4.12); hướng tiếp theo là dùng LLM mạnh hơn cho riêng bước viết lại hoặc từ điển ánh xạ đời thường – pháp lý.</w:t>
      </w:r>
    </w:p>
    <w:p>
      <w:pPr>
        <w:pStyle w:val="ListBullet"/>
        <w:spacing w:line="360" w:lineRule="auto" w:after="40"/>
      </w:pPr>
      <w:r>
        <w:rPr>
          <w:rFonts w:ascii="Times New Roman" w:hAnsi="Times New Roman" w:cs="Times New Roman"/>
          <w:b w:val="0"/>
          <w:i w:val="0"/>
          <w:sz w:val="26"/>
        </w:rPr>
        <w:t>Hoàn tất thẩm định ground-truth với chuyên gia pháp lý; mở rộng nhãn sang văn bản dưới luật liên quan;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