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4.1. Biểu đồ so sánh chất lượng truy xuất giữa các cấu hình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3" name="Picture 3"/>
            <wp:cNvGraphicFramePr>
              <a:graphicFrameLocks noChangeAspect="1"/>
            </wp:cNvGraphicFramePr>
            <a:graphic>
              <a:graphicData uri="http://schemas.openxmlformats.org/drawingml/2006/picture">
                <pic:pic>
                  <pic:nvPicPr>
                    <pic:cNvPr id="0" name="web_result.png"/>
                    <pic:cNvPicPr/>
                  </pic:nvPicPr>
                  <pic:blipFill>
                    <a:blip r:embed="rId13"/>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3.1.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18 câu hỏi tiếng Việt bao phủ nhiều luật y tế trọng yếu (Khám bệnh chữa bệnh, Dược, An toàn thực phẩm, Bảo hiểm y tế, phòng chống tác hại thuốc lá/rượu bia, hiến mô tạng, HIV/AIDS, phòng bệnh). Mỗi câu hỏi được gán nhãn “văn bản liên quan” (ground-truth) là (các) luật điều chỉnh nội dung câu hỏi. Đặc biệt, nhãn được bổ sung các Văn bản hợp nhất (VBHN) tương đương — ví dụ 39/VBHN-VPQH là bản hợp nhất Luật Dược — vì chúng có cùng nội dung luật nhưng khác số hiệu. Chỉ mục dùng toàn bộ 367.462 đoạn. Các độ đo là Hit@k và MRR (Mục 1.7).</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(18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0,333</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0,667</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0,481</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0,389</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0,586</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0,500</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0,644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0,778</w:t>
            </w:r>
          </w:p>
        </w:tc>
        <w:tc>
          <w:tcPr>
            <w:tcW w:type="dxa" w:w="1512"/>
          </w:tcPr>
          <w:p>
            <w:pPr>
              <w:jc w:val="center"/>
            </w:pPr>
            <w:r>
              <w:rPr>
                <w:rFonts w:ascii="Times New Roman" w:hAnsi="Times New Roman" w:cs="Times New Roman"/>
                <w:b w:val="0"/>
                <w:i w:val="0"/>
                <w:sz w:val="24"/>
              </w:rPr>
              <w:t>0,889</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0,687</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0,556</w:t>
            </w:r>
          </w:p>
        </w:tc>
        <w:tc>
          <w:tcPr>
            <w:tcW w:type="dxa" w:w="1512"/>
          </w:tcPr>
          <w:p>
            <w:pPr>
              <w:jc w:val="center"/>
            </w:pPr>
            <w:r>
              <w:rPr>
                <w:rFonts w:ascii="Times New Roman" w:hAnsi="Times New Roman" w:cs="Times New Roman"/>
                <w:b w:val="0"/>
                <w:i w:val="0"/>
                <w:sz w:val="24"/>
              </w:rPr>
              <w:t>0,833</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0,722</w:t>
            </w:r>
          </w:p>
        </w:tc>
      </w:tr>
    </w:tbl>
    <w:p>
      <w:pPr>
        <w:spacing w:after="120"/>
      </w:pPr>
    </w:p>
    <w:p>
      <w:pPr>
        <w:spacing w:before="120"/>
        <w:jc w:val="center"/>
      </w:pPr>
      <w:r>
        <w:drawing>
          <wp:inline xmlns:a="http://schemas.openxmlformats.org/drawingml/2006/main" xmlns:pic="http://schemas.openxmlformats.org/drawingml/2006/picture">
            <wp:extent cx="5400000" cy="2880000"/>
            <wp:docPr id="4" name="Picture 4"/>
            <wp:cNvGraphicFramePr>
              <a:graphicFrameLocks noChangeAspect="1"/>
            </wp:cNvGraphicFramePr>
            <a:graphic>
              <a:graphicData uri="http://schemas.openxmlformats.org/drawingml/2006/picture">
                <pic:pic>
                  <pic:nvPicPr>
                    <pic:cNvPr id="0" name="retrieval_comparison.png"/>
                    <pic:cNvPicPr/>
                  </pic:nvPicPr>
                  <pic:blipFill>
                    <a:blip r:embed="rId14"/>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Hit@3 từ 0,556 lên 0,778 (tăng 0,222) và MRR từ 0,481 lên 0,586 (tăng 0,105). Kết quả khẳng định giả thuyết lý thuyết ở Mục 1.2.1: vì PhoBERT được huấn luyện trên dữ liệu đã tách từ, việc tách từ nhất quán cả khi lập chỉ mục lẫn khi truy vấn giúp embedding của câu hỏi và đoạn cùng phân phối, từ đó khớp tốt hơn. Đây là một minh chứng định lượng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0,389 lên 0,500 (tăng 0,111) và MRR tăng 0,058. Điều này phù hợp với phân tích ở Mục 1.5: cross-encoder đánh giá độ liên quan tinh tế hơn bi-encoder nhờ chú ý chéo, nên đẩy được tài liệu đúng lên vị trí cao hơn. Ghi nhận một đánh đổi: Hit@10 giảm nhẹ vì reranker chỉ làm việc trong phạm vi 30 ứng viên đầu; có thể tăng số ứng viên để giảm hiệu ứng này.</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 lên 0,556 và đạt Hit@10 = 1,000 (tìm thấy văn bản liên quan trong top-10 cho mọi câu hỏi); kết hợp thêm reranker cho MRR cao nhất 0,722 và Hit@5 0,944.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trước khi bổ sung các Văn bản hợp nhất (VBHN) tương đương, baseline chỉ đạt Hit@1 = 0,222; sau khi bổ sung tăng lên 0,389. Cụ thể, câu về an toàn thực phẩm trả về 61/VBHN-VPQH (bản hợp nhất Luật An toàn thực phẩm) và câu về HIV trả về 33/VBHN-VPQH (bản hợp nhất Luật phòng, chống HIV/AIDS) — đúng nội dung nhưng khác số hiệu. Điều này cho thấy chỉ số ban đầu đã đánh giá thấp năng lực thực của hệ thống, và việc xây dựng ground-truth cẩn thận (tính đến VBHN) là cần thiết để đánh giá công bằng trong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lập chỉ mục embedding đạt khoảng 7,7 đoạn/giây (toàn corpus 367.462 đoạn mất khoảng 13 giờ, chạy nền và có khả năng resume); nạp mô hình lần đầu khoảng 90 giây; sinh câu trả lời khoảng 20–40 giây mỗi câu (PhoGPT lượng tử hóa Q4). Mức thời gian này chấp nhận được cho mục đích tra cứu tham khảo, dù chưa đạt thời gian thực; có thể rút ngắn đáng kể nếu triển khai trên GPU hoặc dùng dịch vụ sinh. Việc lượng tử hóa GGUF Q4 là yếu tố then chốt giúp mô hình 3,7 tỷ tham số chạy được trong giới hạn 16GB RAM.</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còn nhỏ (18 câu) và ground-truth do tác giả xây dựng; nên mở rộng quy mô và có chuyên gia pháp lý thẩm định.</w:t>
      </w:r>
    </w:p>
    <w:p>
      <w:pPr>
        <w:pStyle w:val="ListBullet"/>
        <w:spacing w:line="360" w:lineRule="auto" w:after="40"/>
      </w:pPr>
      <w:r>
        <w:rPr>
          <w:rFonts w:ascii="Times New Roman" w:hAnsi="Times New Roman" w:cs="Times New Roman"/>
          <w:b w:val="0"/>
          <w:i w:val="0"/>
          <w:sz w:val="26"/>
        </w:rPr>
        <w:t>Tốc độ sinh trên CPU (~20–40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