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3.1. Lược đồ tuần tự xử lý một câu hỏi</w:t>
      </w:r>
    </w:p>
    <w:p>
      <w:pPr>
        <w:spacing w:line="360" w:lineRule="auto" w:after="120"/>
        <w:jc w:val="left"/>
      </w:pPr>
      <w:r>
        <w:rPr>
          <w:rFonts w:ascii="Times New Roman" w:hAnsi="Times New Roman" w:cs="Times New Roman"/>
          <w:b w:val="0"/>
          <w:i w:val="0"/>
          <w:sz w:val="26"/>
        </w:rPr>
        <w:t>Hình 3.2. Giao diện web demo</w:t>
      </w:r>
    </w:p>
    <w:p>
      <w:pPr>
        <w:spacing w:line="360" w:lineRule="auto" w:after="120"/>
        <w:jc w:val="left"/>
      </w:pPr>
      <w:r>
        <w:rPr>
          <w:rFonts w:ascii="Times New Roman" w:hAnsi="Times New Roman" w:cs="Times New Roman"/>
          <w:b w:val="0"/>
          <w:i w:val="0"/>
          <w:sz w:val="26"/>
        </w:rPr>
        <w:t>Hình 4.1. So sánh chất lượng truy xuất giữa các cấu hình</w:t>
      </w:r>
    </w:p>
    <w:p>
      <w:pPr>
        <w:spacing w:line="360" w:lineRule="auto" w:after="120"/>
        <w:jc w:val="left"/>
      </w:pPr>
      <w:r>
        <w:rPr>
          <w:rFonts w:ascii="Times New Roman" w:hAnsi="Times New Roman" w:cs="Times New Roman"/>
          <w:b w:val="0"/>
          <w:i w:val="0"/>
          <w:sz w:val="26"/>
        </w:rPr>
        <w:t>Hình 4.2. Precision/Recall/F1 theo số nguồn k</w:t>
      </w:r>
    </w:p>
    <w:p>
      <w:pPr>
        <w:spacing w:line="360" w:lineRule="auto" w:after="120"/>
        <w:jc w:val="left"/>
      </w:pPr>
      <w:r>
        <w:rPr>
          <w:rFonts w:ascii="Times New Roman" w:hAnsi="Times New Roman" w:cs="Times New Roman"/>
          <w:b w:val="0"/>
          <w:i w:val="0"/>
          <w:sz w:val="26"/>
        </w:rPr>
        <w:t>Hình 4.3. Thời gian phản hồi trung bình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pacing w:line="360" w:lineRule="auto" w:after="120"/>
        <w:jc w:val="left"/>
      </w:pPr>
      <w:r>
        <w:rPr>
          <w:rFonts w:ascii="Times New Roman" w:hAnsi="Times New Roman" w:cs="Times New Roman"/>
          <w:b w:val="0"/>
          <w:i w:val="0"/>
          <w:sz w:val="26"/>
        </w:rPr>
        <w:t>Bảng 4.3. Precision/Recall/F1 theo số nguồn 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(so sánh với mọi điểm) quá chậm cho thời gian thực, nên dùng chỉ mục lân cận gần đúng (Approximate Nearest Neighbor — ANN).</w:t>
      </w:r>
    </w:p>
    <w:p>
      <w:pPr>
        <w:spacing w:line="360" w:lineRule="auto" w:after="120"/>
        <w:ind w:firstLine="567"/>
        <w:jc w:val="both"/>
      </w:pPr>
      <w:r>
        <w:rPr>
          <w:rFonts w:ascii="Times New Roman" w:hAnsi="Times New Roman" w:cs="Times New Roman"/>
          <w:b w:val="0"/>
          <w:i w:val="0"/>
          <w:sz w:val="26"/>
        </w:rPr>
        <w:t>ChromaDB [9] sử dụng thuật toán HNSW (Hierarchical Navigable Small World): xây một đồ thị nhiều tầng, tầng trên thưa để “nhảy xa”, tầng dưới dày để tinh chỉnh; khi truy vấn, thuật toán bắt đầu từ tầng trên và đi xuống dần theo các cạnh gần câu hỏi nhất. Cách này đánh đổi một phần độ chính xác lấy tốc độ truy vấn gần như hằng số theo kích thước kho, phù hợp với hàng trăm nghìn vector. ChromaDB còn lưu kèm metadata (số hiệu, loại văn bản, tình trạng hiệu lực…), cho phép lọc ngay trong truy vấn (ví dụ chỉ lấy văn bản còn hiệu lực) — rất hữu ích cho yêu cầu “chỉ tư vấn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Điểm BM25 của tài liệu d với truy vấn q được tính theo công thức:</w:t>
      </w:r>
    </w:p>
    <w:p>
      <w:pPr>
        <w:spacing w:after="120"/>
        <w:jc w:val="center"/>
      </w:pPr>
      <w:r>
        <w:rPr>
          <w:rFonts w:ascii="Times New Roman" w:hAnsi="Times New Roman" w:cs="Times New Roman"/>
          <w:b w:val="0"/>
          <w:i/>
          <w:sz w:val="26"/>
        </w:rPr>
        <w:t>BM25(q,d) = Σ IDF(t) · [ f(t,d)·(k1+1) ] / [ f(t,d) + k1·(1 − b + b·|d|/avgdl) ]</w:t>
      </w:r>
    </w:p>
    <w:p>
      <w:pPr>
        <w:spacing w:line="360" w:lineRule="auto" w:after="120"/>
        <w:ind w:firstLine="567"/>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k1 điều chỉnh độ bão hòa tần suất từ và b điều chỉnh mức chuẩn hóa theo độ dài. BM25 mạnh ở các truy vấn chứa từ khóa hiếm hoặc định danh chính xác — đặc biệt là số hiệu văn bản như “147/2025/NĐ-CP” — vốn là điểm yếu cố hữu của embedding ngữ nghĩa, do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2"/>
        <w:keepNext/>
        <w:spacing w:before="200" w:after="80"/>
      </w:pPr>
      <w:r>
        <w:rPr>
          <w:rFonts w:ascii="Times New Roman" w:hAnsi="Times New Roman" w:cs="Times New Roman"/>
          <w:b/>
          <w:i w:val="0"/>
          <w:color w:val="000000"/>
          <w:sz w:val="26"/>
        </w:rPr>
        <w:t>1.8. Một số công trình liên quan</w:t>
      </w:r>
    </w:p>
    <w:p>
      <w:pPr>
        <w:spacing w:line="360" w:lineRule="auto" w:after="120"/>
        <w:ind w:firstLine="567"/>
        <w:jc w:val="both"/>
      </w:pPr>
      <w:r>
        <w:rPr>
          <w:rFonts w:ascii="Times New Roman" w:hAnsi="Times New Roman" w:cs="Times New Roman"/>
          <w:b w:val="0"/>
          <w:i w:val="0"/>
          <w:sz w:val="26"/>
        </w:rPr>
        <w:t>Kiến trúc RAG được Lewis và cộng sự [1] đề xuất, kết hợp truy xuất tài liệu với mô hình sinh để giải các tác vụ đòi hỏi tri thức. Về biểu diễn câu, Sentence-BERT [4] cho thấy việc tinh chỉnh BERT theo kiến trúc Siamese cải thiện rõ chất lượng đo tương đồng câu so với dùng vector [CLS] thô. Đối với tiếng Việt, PhoBERT [2] là mô hình nền tảng cho nhiều tác vụ; trên cơ sở đó, các mô hình bi-encoder tiếng Việt như vietnamese-bi-encoder [7] và bộ xếp hạng PhoRanker [8] được phát triển cho tìm kiếm và xếp hạng. Về sinh ngôn ngữ tiếng Việt, PhoGPT [3] là một trong các LLM mở quy mô vừa, phù hợp triển khai cục bộ sau lượng tử hóa.</w:t>
      </w:r>
    </w:p>
    <w:p>
      <w:pPr>
        <w:spacing w:line="360" w:lineRule="auto" w:after="120"/>
        <w:ind w:firstLine="567"/>
        <w:jc w:val="both"/>
      </w:pPr>
      <w:r>
        <w:rPr>
          <w:rFonts w:ascii="Times New Roman" w:hAnsi="Times New Roman" w:cs="Times New Roman"/>
          <w:b w:val="0"/>
          <w:i w:val="0"/>
          <w:sz w:val="26"/>
        </w:rPr>
        <w:t>Về kỹ thuật truy xuất, BM25 [5] vẫn là chuẩn mạnh cho tìm kiếm từ vựng; việc kết hợp tín hiệu từ vựng và ngữ nghĩa (hybrid) bằng Reciprocal Rank Fusion [6] thường vượt trội so với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là định danh quan trọng nhất để trích dẫn; nếu xóa các dấu này, số hiệu sẽ bị biến dạng, làm hỏng khả năng tra cứu. Ví dụ minh họa:</w:t>
      </w:r>
    </w:p>
    <w:p>
      <w:pPr>
        <w:spacing w:line="360" w:lineRule="auto" w:after="120"/>
        <w:ind w:firstLine="567"/>
        <w:jc w:val="left"/>
      </w:pPr>
      <w:r>
        <w:rPr>
          <w:rFonts w:ascii="Times New Roman" w:hAnsi="Times New Roman" w:cs="Times New Roman"/>
          <w:b w:val="0"/>
          <w:i w:val="0"/>
          <w:sz w:val="26"/>
        </w:rPr>
        <w:t>• Trước (làm sạch sai của pipeline cũ): “… Nghị định 147 2025 NĐ CP …” → mất cấu trúc số hiệu.</w:t>
        <w:br/>
        <w:t>• Sau (làm sạch đúng): “… Nghị định 147/2025/NĐ-CP …” → giữ nguyên định danh.</w:t>
      </w:r>
    </w:p>
    <w:p>
      <w:pPr>
        <w:spacing w:line="360" w:lineRule="auto" w:after="120"/>
        <w:ind w:firstLine="567"/>
        <w:jc w:val="both"/>
      </w:pPr>
      <w:r>
        <w:rPr>
          <w:rFonts w:ascii="Times New Roman" w:hAnsi="Times New Roman" w:cs="Times New Roman"/>
          <w:b w:val="0"/>
          <w:i w:val="0"/>
          <w:sz w:val="26"/>
        </w:rPr>
        <w:t>Trong pipeline ban đầu, chính lỗi xóa dấu này đã được phát hiện và sửa, cùng với lỗi nhân bản dữ liệu trình bày ở Mục 2.6.</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~1200 ký tự, thêm phần chồng lấp (overlap) 150 ký tự ở đầu mỗi đoạn kế tiếp.</w:t>
      </w:r>
    </w:p>
    <w:p>
      <w:pPr>
        <w:spacing w:line="360" w:lineRule="auto" w:after="120"/>
        <w:ind w:firstLine="567"/>
        <w:jc w:val="both"/>
      </w:pPr>
      <w:r>
        <w:rPr>
          <w:rFonts w:ascii="Times New Roman" w:hAnsi="Times New Roman" w:cs="Times New Roman"/>
          <w:b w:val="0"/>
          <w:i w:val="0"/>
          <w:sz w:val="26"/>
        </w:rPr>
        <w:t>Việc cắt theo “Điều” giúp mỗi đoạn là một đơn vị ngữ nghĩa tương đối hoàn chỉnh, thay vì cắt cứng theo số ký tự dễ làm đứt câu và mất ngữ cảnh. Phần chồng lấp giữ liên tục ngữ nghĩa giữa các đoạn liền kề, tránh mất thông tin nằm đúng ở ranh giới cắt. Giả thuyết “cắt theo Điều tốt hơn cắt cứng” được kiểm chứng định lượng ở Chương 4 (Thí nghiệm 3).</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 Trình tự tương tác giữa các thành phần được thể hiện ở Hình 3.1.</w:t>
      </w:r>
    </w:p>
    <w:p>
      <w:pPr>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after="200"/>
        <w:jc w:val="center"/>
      </w:pPr>
      <w:r>
        <w:rPr>
          <w:rFonts w:ascii="Times New Roman" w:hAnsi="Times New Roman" w:cs="Times New Roman"/>
          <w:b/>
          <w:i w:val="0"/>
          <w:sz w:val="24"/>
        </w:rPr>
        <w:t>Hình 3.1. Lược đồ tuần tự xử lý một câu hỏi</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3.2. Giao diện web demo: câu trả lời của PhoGPT kèm các nguồn trích dẫn</w:t>
      </w:r>
    </w:p>
    <w:p>
      <w:pPr>
        <w:spacing w:line="360" w:lineRule="auto" w:after="120"/>
        <w:ind w:firstLine="567"/>
        <w:jc w:val="both"/>
      </w:pPr>
      <w:r>
        <w:rPr>
          <w:rFonts w:ascii="Times New Roman" w:hAnsi="Times New Roman" w:cs="Times New Roman"/>
          <w:b w:val="0"/>
          <w:i w:val="0"/>
          <w:sz w:val="26"/>
        </w:rPr>
        <w:t>Backend cung cấp các điểm cuối (endpoint) chính như Bảng 3.2; cấu hình (chế độ LLM, bật/tắt hybrid và reranker) được điều khiển qua biến môi trường, thuận tiện cho việc thử nghiệm các cấu hình khác nhau khi đánh giá.</w:t>
      </w:r>
    </w:p>
    <w:p>
      <w:pPr>
        <w:spacing w:before="120"/>
        <w:jc w:val="center"/>
      </w:pPr>
      <w:r>
        <w:rPr>
          <w:rFonts w:ascii="Times New Roman" w:hAnsi="Times New Roman" w:cs="Times New Roman"/>
          <w:b/>
          <w:i w:val="0"/>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chỉ_hiệu_lực};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Phục vụ tài nguyên tĩnh (thư viện React đóng gói cục bộ)</w:t>
            </w:r>
          </w:p>
        </w:tc>
      </w:tr>
    </w:tbl>
    <w:p>
      <w:pPr>
        <w:spacing w:after="120"/>
      </w:pP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200 câu hỏi tiếng Việt bao phủ nhiều luật y tế trọng yếu (Khám bệnh chữa bệnh, Dược, An toàn thực phẩm, Bảo hiểm y tế, phòng chống tác hại thuốc lá/rượu bia, hiến mô tạng, HIV/AIDS, phòng bệnh). Trong đó 50 câu được soạn thủ công và 150 câu được sinh tự động từ tiêu đề các “Điều” thật trong từng luật rồi đặt thành câu hỏi (ground-truth = số hiệu luật chứa Điều đó). Mỗi câu được gán nhãn “văn bản liên quan” là (các) luật điều chỉnh (trung bình 2 văn bản/câu), bổ sung các Văn bản hợp nhất (VBHN) tương đương — ví dụ 39/VBHN-VPQH là bản hợp nhất Luật Dược. Chỉ mục dùng toàn bộ 367.462 đoạn. Các độ đo là Hit@k, MRR (Mục 1.7) và Precision/Recall/F1@k.</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(200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0,490</w:t>
            </w:r>
          </w:p>
        </w:tc>
        <w:tc>
          <w:tcPr>
            <w:tcW w:type="dxa" w:w="1512"/>
          </w:tcPr>
          <w:p>
            <w:pPr>
              <w:jc w:val="center"/>
            </w:pPr>
            <w:r>
              <w:rPr>
                <w:rFonts w:ascii="Times New Roman" w:hAnsi="Times New Roman" w:cs="Times New Roman"/>
                <w:b w:val="0"/>
                <w:i w:val="0"/>
                <w:sz w:val="24"/>
              </w:rPr>
              <w:t>0,680</w:t>
            </w:r>
          </w:p>
        </w:tc>
        <w:tc>
          <w:tcPr>
            <w:tcW w:type="dxa" w:w="1512"/>
          </w:tcPr>
          <w:p>
            <w:pPr>
              <w:jc w:val="center"/>
            </w:pPr>
            <w:r>
              <w:rPr>
                <w:rFonts w:ascii="Times New Roman" w:hAnsi="Times New Roman" w:cs="Times New Roman"/>
                <w:b w:val="0"/>
                <w:i w:val="0"/>
                <w:sz w:val="24"/>
              </w:rPr>
              <w:t>0,760</w:t>
            </w:r>
          </w:p>
        </w:tc>
        <w:tc>
          <w:tcPr>
            <w:tcW w:type="dxa" w:w="1512"/>
          </w:tcPr>
          <w:p>
            <w:pPr>
              <w:jc w:val="center"/>
            </w:pPr>
            <w:r>
              <w:rPr>
                <w:rFonts w:ascii="Times New Roman" w:hAnsi="Times New Roman" w:cs="Times New Roman"/>
                <w:b w:val="0"/>
                <w:i w:val="0"/>
                <w:sz w:val="24"/>
              </w:rPr>
              <w:t>0,810</w:t>
            </w:r>
          </w:p>
        </w:tc>
        <w:tc>
          <w:tcPr>
            <w:tcW w:type="dxa" w:w="1512"/>
          </w:tcPr>
          <w:p>
            <w:pPr>
              <w:jc w:val="center"/>
            </w:pPr>
            <w:r>
              <w:rPr>
                <w:rFonts w:ascii="Times New Roman" w:hAnsi="Times New Roman" w:cs="Times New Roman"/>
                <w:b w:val="0"/>
                <w:i w:val="0"/>
                <w:sz w:val="24"/>
              </w:rPr>
              <w:t>0,600</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0,595</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0,845</w:t>
            </w:r>
          </w:p>
        </w:tc>
        <w:tc>
          <w:tcPr>
            <w:tcW w:type="dxa" w:w="1512"/>
          </w:tcPr>
          <w:p>
            <w:pPr>
              <w:jc w:val="center"/>
            </w:pPr>
            <w:r>
              <w:rPr>
                <w:rFonts w:ascii="Times New Roman" w:hAnsi="Times New Roman" w:cs="Times New Roman"/>
                <w:b w:val="0"/>
                <w:i w:val="0"/>
                <w:sz w:val="24"/>
              </w:rPr>
              <w:t>0,885</w:t>
            </w:r>
          </w:p>
        </w:tc>
        <w:tc>
          <w:tcPr>
            <w:tcW w:type="dxa" w:w="1512"/>
          </w:tcPr>
          <w:p>
            <w:pPr>
              <w:jc w:val="center"/>
            </w:pPr>
            <w:r>
              <w:rPr>
                <w:rFonts w:ascii="Times New Roman" w:hAnsi="Times New Roman" w:cs="Times New Roman"/>
                <w:b w:val="0"/>
                <w:i w:val="0"/>
                <w:sz w:val="24"/>
              </w:rPr>
              <w:t>0,704</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0,625</w:t>
            </w:r>
          </w:p>
        </w:tc>
        <w:tc>
          <w:tcPr>
            <w:tcW w:type="dxa" w:w="1512"/>
          </w:tcPr>
          <w:p>
            <w:pPr>
              <w:jc w:val="center"/>
            </w:pPr>
            <w:r>
              <w:rPr>
                <w:rFonts w:ascii="Times New Roman" w:hAnsi="Times New Roman" w:cs="Times New Roman"/>
                <w:b w:val="0"/>
                <w:i w:val="0"/>
                <w:sz w:val="24"/>
              </w:rPr>
              <w:t>0,815</w:t>
            </w:r>
          </w:p>
        </w:tc>
        <w:tc>
          <w:tcPr>
            <w:tcW w:type="dxa" w:w="1512"/>
          </w:tcPr>
          <w:p>
            <w:pPr>
              <w:jc w:val="center"/>
            </w:pPr>
            <w:r>
              <w:rPr>
                <w:rFonts w:ascii="Times New Roman" w:hAnsi="Times New Roman" w:cs="Times New Roman"/>
                <w:b w:val="0"/>
                <w:i w:val="0"/>
                <w:sz w:val="24"/>
              </w:rPr>
              <w:t>0,850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0,724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0,635</w:t>
            </w:r>
          </w:p>
        </w:tc>
        <w:tc>
          <w:tcPr>
            <w:tcW w:type="dxa" w:w="1512"/>
          </w:tcPr>
          <w:p>
            <w:pPr>
              <w:jc w:val="center"/>
            </w:pPr>
            <w:r>
              <w:rPr>
                <w:rFonts w:ascii="Times New Roman" w:hAnsi="Times New Roman" w:cs="Times New Roman"/>
                <w:b w:val="0"/>
                <w:i w:val="0"/>
                <w:sz w:val="24"/>
              </w:rPr>
              <w:t>0,855</w:t>
            </w:r>
          </w:p>
        </w:tc>
        <w:tc>
          <w:tcPr>
            <w:tcW w:type="dxa" w:w="1512"/>
          </w:tcPr>
          <w:p>
            <w:pPr>
              <w:jc w:val="center"/>
            </w:pPr>
            <w:r>
              <w:rPr>
                <w:rFonts w:ascii="Times New Roman" w:hAnsi="Times New Roman" w:cs="Times New Roman"/>
                <w:b w:val="0"/>
                <w:i w:val="0"/>
                <w:sz w:val="24"/>
              </w:rPr>
              <w:t>0,900</w:t>
            </w:r>
          </w:p>
        </w:tc>
        <w:tc>
          <w:tcPr>
            <w:tcW w:type="dxa" w:w="1512"/>
          </w:tcPr>
          <w:p>
            <w:pPr>
              <w:jc w:val="center"/>
            </w:pPr>
            <w:r>
              <w:rPr>
                <w:rFonts w:ascii="Times New Roman" w:hAnsi="Times New Roman" w:cs="Times New Roman"/>
                <w:b w:val="0"/>
                <w:i w:val="0"/>
                <w:sz w:val="24"/>
              </w:rPr>
              <w:t>0,960</w:t>
            </w:r>
          </w:p>
        </w:tc>
        <w:tc>
          <w:tcPr>
            <w:tcW w:type="dxa" w:w="1512"/>
          </w:tcPr>
          <w:p>
            <w:pPr>
              <w:jc w:val="center"/>
            </w:pPr>
            <w:r>
              <w:rPr>
                <w:rFonts w:ascii="Times New Roman" w:hAnsi="Times New Roman" w:cs="Times New Roman"/>
                <w:b w:val="0"/>
                <w:i w:val="0"/>
                <w:sz w:val="24"/>
              </w:rPr>
              <w:t>0,754</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bl>
    <w:p>
      <w:pPr>
        <w:spacing w:after="120"/>
      </w:pPr>
    </w:p>
    <w:p>
      <w:pPr>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Hit@1 từ 0,490 lên 0,595 (tăng 0,105), Hit@3 từ 0,680 lên 0,800 (tăng 0,120) và MRR từ 0,600 lên 0,704 (tăng 0,104). Đây là một trong những cải thiện lớn nhất, khẳng định giả thuyết ở Mục 1.2.1: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từ 0,595 lên 0,625 (tăng 0,030) và MRR từ 0,704 lên 0,724 (tăng 0,020). Khi kết hợp với hybrid (cấu hình 5), reranker tiếp tục nâng Hit@1 lên cao nhất (0,650) và MRR lên cao nhất (0,764). Điều này phù hợp với phân tích ở Mục 1.5: cross-encoder đọc đồng thời (câu hỏi + đoạn) nên đánh giá độ liên quan tinh tế hơn bi-encoder, đẩy được tài liệu đúng lên hạng cao. Mức cải thiện của reranker khiêm tốn hơn so với tách từ hay hybrid, và phụ thuộc chất lượng tập ứng viên đầu vào — đứng sau hybrid (tập ứng viên đa dạng hơn) thì reranker phát huy tốt hơn.</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nâng Hit@10 từ 0,885 lên 0,960 (gần như không bỏ sót) và MRR từ 0,704 lên 0,754; kết hợp thêm reranker (cấu hình 5) cho Hit@1 cao nhất (0,650) và MRR cao nhất (0,764).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 Tổng hợp lại, cấu hình Hybrid + Reranker được chọn cho hệ thống vì cân bằng tốt nhất giữa độ chính xác ở hạng đầu (Hit@1, MRR) và độ phủ (Hit@10).</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Ví dụ, câu “Những hành vi bị nghiêm cấm trong hoạt động dược?” trả về top-1 là một quyết định của Cục Quản lý Dược thay vì Luật Dược; câu về tiêm chủng trả về Nghị định 104/2016/NĐ-CP (nghị định chuyên về tiêm chủng) — thực chất rất sát nội dung, dù không trùng số hiệu luật được gán nhãn.</w:t>
      </w:r>
    </w:p>
    <w:p>
      <w:pPr>
        <w:spacing w:line="360" w:lineRule="auto" w:after="120"/>
        <w:ind w:firstLine="567"/>
        <w:jc w:val="both"/>
      </w:pPr>
      <w:r>
        <w:rPr>
          <w:rFonts w:ascii="Times New Roman" w:hAnsi="Times New Roman" w:cs="Times New Roman"/>
          <w:b w:val="0"/>
          <w:i w:val="0"/>
          <w:sz w:val="26"/>
        </w:rPr>
        <w:t>Thứ hai, vấn đề ground-truth: nhiều câu trả về Văn bản hợp nhất (VBHN) tương đương thay vì luật gốc — ví dụ câu về an toàn thực phẩm trả về 61/VBHN-VPQH (bản hợp nhất Luật An toàn thực phẩm), câu về HIV trả về 33/VBHN-VPQH (bản hợp nhất Luật phòng, chống HIV/AIDS) — đúng nội dung nhưng khác số hiệu. Nếu không tính các VBHN này vào ground-truth, chỉ số sẽ bị đánh giá thấp một cách giả tạo. Vì vậy đề tài đã bổ sung VBHN tương đương vào nhãn để đánh giá công bằng — một lưu ý quan trọng khi xây dựng tập kiểm thử cho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Precision, Recall và ảnh hưởng của số nguồn k</w:t>
      </w:r>
    </w:p>
    <w:p>
      <w:pPr>
        <w:spacing w:line="360" w:lineRule="auto" w:after="120"/>
        <w:ind w:firstLine="567"/>
        <w:jc w:val="both"/>
      </w:pPr>
      <w:r>
        <w:rPr>
          <w:rFonts w:ascii="Times New Roman" w:hAnsi="Times New Roman" w:cs="Times New Roman"/>
          <w:b w:val="0"/>
          <w:i w:val="0"/>
          <w:sz w:val="26"/>
        </w:rPr>
        <w:t>Bên cạnh Hit@k và MRR, đề tài đo Precision@k và Recall@k ở mức văn bản (sau khi gộp các đoạn về số hiệu văn bản) cho cấu hình Hybrid + Reranker, đồng thời khảo sát ảnh hưởng của số nguồn k truyền cho mô hình (Bảng 4.3, Hình 4.2).</w:t>
      </w:r>
    </w:p>
    <w:p>
      <w:pPr>
        <w:spacing w:before="120"/>
        <w:jc w:val="center"/>
      </w:pPr>
      <w:r>
        <w:rPr>
          <w:rFonts w:ascii="Times New Roman" w:hAnsi="Times New Roman" w:cs="Times New Roman"/>
          <w:b/>
          <w:i w:val="0"/>
          <w:sz w:val="24"/>
        </w:rPr>
        <w:t>Bảng 4.3. Precision/Recall/F1 theo số nguồn k = 1..10 (kèm trần Precision)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0,436</w:t>
            </w:r>
          </w:p>
        </w:tc>
        <w:tc>
          <w:tcPr>
            <w:tcW w:type="dxa" w:w="1814"/>
          </w:tcPr>
          <w:p>
            <w:pPr>
              <w:jc w:val="center"/>
            </w:pPr>
            <w:r>
              <w:rPr>
                <w:rFonts w:ascii="Times New Roman" w:hAnsi="Times New Roman" w:cs="Times New Roman"/>
                <w:b w:val="0"/>
                <w:i w:val="0"/>
                <w:sz w:val="24"/>
              </w:rPr>
              <w:t>0,522</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2</w:t>
            </w:r>
          </w:p>
        </w:tc>
        <w:tc>
          <w:tcPr>
            <w:tcW w:type="dxa" w:w="1814"/>
          </w:tcPr>
          <w:p>
            <w:pPr>
              <w:jc w:val="center"/>
            </w:pPr>
            <w:r>
              <w:rPr>
                <w:rFonts w:ascii="Times New Roman" w:hAnsi="Times New Roman" w:cs="Times New Roman"/>
                <w:b w:val="0"/>
                <w:i w:val="0"/>
                <w:sz w:val="24"/>
              </w:rPr>
              <w:t>0,510</w:t>
            </w:r>
          </w:p>
        </w:tc>
        <w:tc>
          <w:tcPr>
            <w:tcW w:type="dxa" w:w="1814"/>
          </w:tcPr>
          <w:p>
            <w:pPr>
              <w:jc w:val="center"/>
            </w:pPr>
            <w:r>
              <w:rPr>
                <w:rFonts w:ascii="Times New Roman" w:hAnsi="Times New Roman" w:cs="Times New Roman"/>
                <w:b w:val="0"/>
                <w:i w:val="0"/>
                <w:sz w:val="24"/>
              </w:rPr>
              <w:t>0,608</w:t>
            </w:r>
          </w:p>
        </w:tc>
        <w:tc>
          <w:tcPr>
            <w:tcW w:type="dxa" w:w="1814"/>
          </w:tcPr>
          <w:p>
            <w:pPr>
              <w:jc w:val="center"/>
            </w:pPr>
            <w:r>
              <w:rPr>
                <w:rFonts w:ascii="Times New Roman" w:hAnsi="Times New Roman" w:cs="Times New Roman"/>
                <w:b w:val="0"/>
                <w:i w:val="0"/>
                <w:sz w:val="24"/>
              </w:rPr>
              <w:t>0,555</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0,398</w:t>
            </w:r>
          </w:p>
        </w:tc>
        <w:tc>
          <w:tcPr>
            <w:tcW w:type="dxa" w:w="1814"/>
          </w:tcPr>
          <w:p>
            <w:pPr>
              <w:jc w:val="center"/>
            </w:pPr>
            <w:r>
              <w:rPr>
                <w:rFonts w:ascii="Times New Roman" w:hAnsi="Times New Roman" w:cs="Times New Roman"/>
                <w:b w:val="0"/>
                <w:i w:val="0"/>
                <w:sz w:val="24"/>
              </w:rPr>
              <w:t>0,686</w:t>
            </w:r>
          </w:p>
        </w:tc>
        <w:tc>
          <w:tcPr>
            <w:tcW w:type="dxa" w:w="1814"/>
          </w:tcPr>
          <w:p>
            <w:pPr>
              <w:jc w:val="center"/>
            </w:pPr>
            <w:r>
              <w:rPr>
                <w:rFonts w:ascii="Times New Roman" w:hAnsi="Times New Roman" w:cs="Times New Roman"/>
                <w:b w:val="0"/>
                <w:i w:val="0"/>
                <w:sz w:val="24"/>
              </w:rPr>
              <w:t>0,504</w:t>
            </w:r>
          </w:p>
        </w:tc>
        <w:tc>
          <w:tcPr>
            <w:tcW w:type="dxa" w:w="1814"/>
          </w:tcPr>
          <w:p>
            <w:pPr>
              <w:jc w:val="center"/>
            </w:pPr>
            <w:r>
              <w:rPr>
                <w:rFonts w:ascii="Times New Roman" w:hAnsi="Times New Roman" w:cs="Times New Roman"/>
                <w:b w:val="0"/>
                <w:i w:val="0"/>
                <w:sz w:val="24"/>
              </w:rPr>
              <w:t>0,667</w:t>
            </w:r>
          </w:p>
        </w:tc>
      </w:tr>
      <w:tr>
        <w:tc>
          <w:tcPr>
            <w:tcW w:type="dxa" w:w="1814"/>
          </w:tcPr>
          <w:p>
            <w:pPr>
              <w:jc w:val="left"/>
            </w:pPr>
            <w:r>
              <w:rPr>
                <w:rFonts w:ascii="Times New Roman" w:hAnsi="Times New Roman" w:cs="Times New Roman"/>
                <w:b w:val="0"/>
                <w:i w:val="0"/>
                <w:sz w:val="24"/>
              </w:rPr>
              <w:t>4</w:t>
            </w:r>
          </w:p>
        </w:tc>
        <w:tc>
          <w:tcPr>
            <w:tcW w:type="dxa" w:w="1814"/>
          </w:tcPr>
          <w:p>
            <w:pPr>
              <w:jc w:val="center"/>
            </w:pPr>
            <w:r>
              <w:rPr>
                <w:rFonts w:ascii="Times New Roman" w:hAnsi="Times New Roman" w:cs="Times New Roman"/>
                <w:b w:val="0"/>
                <w:i w:val="0"/>
                <w:sz w:val="24"/>
              </w:rPr>
              <w:t>0,323</w:t>
            </w:r>
          </w:p>
        </w:tc>
        <w:tc>
          <w:tcPr>
            <w:tcW w:type="dxa" w:w="1814"/>
          </w:tcPr>
          <w:p>
            <w:pPr>
              <w:jc w:val="center"/>
            </w:pPr>
            <w:r>
              <w:rPr>
                <w:rFonts w:ascii="Times New Roman" w:hAnsi="Times New Roman" w:cs="Times New Roman"/>
                <w:b w:val="0"/>
                <w:i w:val="0"/>
                <w:sz w:val="24"/>
              </w:rPr>
              <w:t>0,729</w:t>
            </w:r>
          </w:p>
        </w:tc>
        <w:tc>
          <w:tcPr>
            <w:tcW w:type="dxa" w:w="1814"/>
          </w:tcPr>
          <w:p>
            <w:pPr>
              <w:jc w:val="center"/>
            </w:pPr>
            <w:r>
              <w:rPr>
                <w:rFonts w:ascii="Times New Roman" w:hAnsi="Times New Roman" w:cs="Times New Roman"/>
                <w:b w:val="0"/>
                <w:i w:val="0"/>
                <w:sz w:val="24"/>
              </w:rPr>
              <w:t>0,447</w:t>
            </w:r>
          </w:p>
        </w:tc>
        <w:tc>
          <w:tcPr>
            <w:tcW w:type="dxa" w:w="1814"/>
          </w:tcPr>
          <w:p>
            <w:pPr>
              <w:jc w:val="center"/>
            </w:pPr>
            <w:r>
              <w:rPr>
                <w:rFonts w:ascii="Times New Roman" w:hAnsi="Times New Roman" w:cs="Times New Roman"/>
                <w:b w:val="0"/>
                <w:i w:val="0"/>
                <w:sz w:val="24"/>
              </w:rPr>
              <w:t>0,500</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0,268</w:t>
            </w:r>
          </w:p>
        </w:tc>
        <w:tc>
          <w:tcPr>
            <w:tcW w:type="dxa" w:w="1814"/>
          </w:tcPr>
          <w:p>
            <w:pPr>
              <w:jc w:val="center"/>
            </w:pPr>
            <w:r>
              <w:rPr>
                <w:rFonts w:ascii="Times New Roman" w:hAnsi="Times New Roman" w:cs="Times New Roman"/>
                <w:b w:val="0"/>
                <w:i w:val="0"/>
                <w:sz w:val="24"/>
              </w:rPr>
              <w:t>0,747</w:t>
            </w:r>
          </w:p>
        </w:tc>
        <w:tc>
          <w:tcPr>
            <w:tcW w:type="dxa" w:w="1814"/>
          </w:tcPr>
          <w:p>
            <w:pPr>
              <w:jc w:val="center"/>
            </w:pPr>
            <w:r>
              <w:rPr>
                <w:rFonts w:ascii="Times New Roman" w:hAnsi="Times New Roman" w:cs="Times New Roman"/>
                <w:b w:val="0"/>
                <w:i w:val="0"/>
                <w:sz w:val="24"/>
              </w:rPr>
              <w:t>0,394</w:t>
            </w:r>
          </w:p>
        </w:tc>
        <w:tc>
          <w:tcPr>
            <w:tcW w:type="dxa" w:w="1814"/>
          </w:tcPr>
          <w:p>
            <w:pPr>
              <w:jc w:val="center"/>
            </w:pPr>
            <w:r>
              <w:rPr>
                <w:rFonts w:ascii="Times New Roman" w:hAnsi="Times New Roman" w:cs="Times New Roman"/>
                <w:b w:val="0"/>
                <w:i w:val="0"/>
                <w:sz w:val="24"/>
              </w:rPr>
              <w:t>0,400</w:t>
            </w:r>
          </w:p>
        </w:tc>
      </w:tr>
      <w:tr>
        <w:tc>
          <w:tcPr>
            <w:tcW w:type="dxa" w:w="1814"/>
          </w:tcPr>
          <w:p>
            <w:pPr>
              <w:jc w:val="left"/>
            </w:pPr>
            <w:r>
              <w:rPr>
                <w:rFonts w:ascii="Times New Roman" w:hAnsi="Times New Roman" w:cs="Times New Roman"/>
                <w:b w:val="0"/>
                <w:i w:val="0"/>
                <w:sz w:val="24"/>
              </w:rPr>
              <w:t>6</w:t>
            </w:r>
          </w:p>
        </w:tc>
        <w:tc>
          <w:tcPr>
            <w:tcW w:type="dxa" w:w="1814"/>
          </w:tcPr>
          <w:p>
            <w:pPr>
              <w:jc w:val="center"/>
            </w:pPr>
            <w:r>
              <w:rPr>
                <w:rFonts w:ascii="Times New Roman" w:hAnsi="Times New Roman" w:cs="Times New Roman"/>
                <w:b w:val="0"/>
                <w:i w:val="0"/>
                <w:sz w:val="24"/>
              </w:rPr>
              <w:t>0,232</w:t>
            </w:r>
          </w:p>
        </w:tc>
        <w:tc>
          <w:tcPr>
            <w:tcW w:type="dxa" w:w="1814"/>
          </w:tcPr>
          <w:p>
            <w:pPr>
              <w:jc w:val="center"/>
            </w:pPr>
            <w:r>
              <w:rPr>
                <w:rFonts w:ascii="Times New Roman" w:hAnsi="Times New Roman" w:cs="Times New Roman"/>
                <w:b w:val="0"/>
                <w:i w:val="0"/>
                <w:sz w:val="24"/>
              </w:rPr>
              <w:t>0,770</w:t>
            </w:r>
          </w:p>
        </w:tc>
        <w:tc>
          <w:tcPr>
            <w:tcW w:type="dxa" w:w="1814"/>
          </w:tcPr>
          <w:p>
            <w:pPr>
              <w:jc w:val="center"/>
            </w:pPr>
            <w:r>
              <w:rPr>
                <w:rFonts w:ascii="Times New Roman" w:hAnsi="Times New Roman" w:cs="Times New Roman"/>
                <w:b w:val="0"/>
                <w:i w:val="0"/>
                <w:sz w:val="24"/>
              </w:rPr>
              <w:t>0,356</w:t>
            </w:r>
          </w:p>
        </w:tc>
        <w:tc>
          <w:tcPr>
            <w:tcW w:type="dxa" w:w="1814"/>
          </w:tcPr>
          <w:p>
            <w:pPr>
              <w:jc w:val="center"/>
            </w:pPr>
            <w:r>
              <w:rPr>
                <w:rFonts w:ascii="Times New Roman" w:hAnsi="Times New Roman" w:cs="Times New Roman"/>
                <w:b w:val="0"/>
                <w:i w:val="0"/>
                <w:sz w:val="24"/>
              </w:rPr>
              <w:t>0,333</w:t>
            </w:r>
          </w:p>
        </w:tc>
      </w:tr>
      <w:tr>
        <w:tc>
          <w:tcPr>
            <w:tcW w:type="dxa" w:w="1814"/>
          </w:tcPr>
          <w:p>
            <w:pPr>
              <w:jc w:val="left"/>
            </w:pPr>
            <w:r>
              <w:rPr>
                <w:rFonts w:ascii="Times New Roman" w:hAnsi="Times New Roman" w:cs="Times New Roman"/>
                <w:b w:val="0"/>
                <w:i w:val="0"/>
                <w:sz w:val="24"/>
              </w:rPr>
              <w:t>7</w:t>
            </w:r>
          </w:p>
        </w:tc>
        <w:tc>
          <w:tcPr>
            <w:tcW w:type="dxa" w:w="1814"/>
          </w:tcPr>
          <w:p>
            <w:pPr>
              <w:jc w:val="center"/>
            </w:pPr>
            <w:r>
              <w:rPr>
                <w:rFonts w:ascii="Times New Roman" w:hAnsi="Times New Roman" w:cs="Times New Roman"/>
                <w:b w:val="0"/>
                <w:i w:val="0"/>
                <w:sz w:val="24"/>
              </w:rPr>
              <w:t>0,202</w:t>
            </w:r>
          </w:p>
        </w:tc>
        <w:tc>
          <w:tcPr>
            <w:tcW w:type="dxa" w:w="1814"/>
          </w:tcPr>
          <w:p>
            <w:pPr>
              <w:jc w:val="center"/>
            </w:pPr>
            <w:r>
              <w:rPr>
                <w:rFonts w:ascii="Times New Roman" w:hAnsi="Times New Roman" w:cs="Times New Roman"/>
                <w:b w:val="0"/>
                <w:i w:val="0"/>
                <w:sz w:val="24"/>
              </w:rPr>
              <w:t>0,780</w:t>
            </w:r>
          </w:p>
        </w:tc>
        <w:tc>
          <w:tcPr>
            <w:tcW w:type="dxa" w:w="1814"/>
          </w:tcPr>
          <w:p>
            <w:pPr>
              <w:jc w:val="center"/>
            </w:pPr>
            <w:r>
              <w:rPr>
                <w:rFonts w:ascii="Times New Roman" w:hAnsi="Times New Roman" w:cs="Times New Roman"/>
                <w:b w:val="0"/>
                <w:i w:val="0"/>
                <w:sz w:val="24"/>
              </w:rPr>
              <w:t>0,321</w:t>
            </w:r>
          </w:p>
        </w:tc>
        <w:tc>
          <w:tcPr>
            <w:tcW w:type="dxa" w:w="1814"/>
          </w:tcPr>
          <w:p>
            <w:pPr>
              <w:jc w:val="center"/>
            </w:pPr>
            <w:r>
              <w:rPr>
                <w:rFonts w:ascii="Times New Roman" w:hAnsi="Times New Roman" w:cs="Times New Roman"/>
                <w:b w:val="0"/>
                <w:i w:val="0"/>
                <w:sz w:val="24"/>
              </w:rPr>
              <w:t>0,286</w:t>
            </w:r>
          </w:p>
        </w:tc>
      </w:tr>
      <w:tr>
        <w:tc>
          <w:tcPr>
            <w:tcW w:type="dxa" w:w="1814"/>
          </w:tcPr>
          <w:p>
            <w:pPr>
              <w:jc w:val="left"/>
            </w:pPr>
            <w:r>
              <w:rPr>
                <w:rFonts w:ascii="Times New Roman" w:hAnsi="Times New Roman" w:cs="Times New Roman"/>
                <w:b w:val="0"/>
                <w:i w:val="0"/>
                <w:sz w:val="24"/>
              </w:rPr>
              <w:t>8</w:t>
            </w:r>
          </w:p>
        </w:tc>
        <w:tc>
          <w:tcPr>
            <w:tcW w:type="dxa" w:w="1814"/>
          </w:tcPr>
          <w:p>
            <w:pPr>
              <w:jc w:val="center"/>
            </w:pPr>
            <w:r>
              <w:rPr>
                <w:rFonts w:ascii="Times New Roman" w:hAnsi="Times New Roman" w:cs="Times New Roman"/>
                <w:b w:val="0"/>
                <w:i w:val="0"/>
                <w:sz w:val="24"/>
              </w:rPr>
              <w:t>0,180</w:t>
            </w:r>
          </w:p>
        </w:tc>
        <w:tc>
          <w:tcPr>
            <w:tcW w:type="dxa" w:w="1814"/>
          </w:tcPr>
          <w:p>
            <w:pPr>
              <w:jc w:val="center"/>
            </w:pPr>
            <w:r>
              <w:rPr>
                <w:rFonts w:ascii="Times New Roman" w:hAnsi="Times New Roman" w:cs="Times New Roman"/>
                <w:b w:val="0"/>
                <w:i w:val="0"/>
                <w:sz w:val="24"/>
              </w:rPr>
              <w:t>0,791</w:t>
            </w:r>
          </w:p>
        </w:tc>
        <w:tc>
          <w:tcPr>
            <w:tcW w:type="dxa" w:w="1814"/>
          </w:tcPr>
          <w:p>
            <w:pPr>
              <w:jc w:val="center"/>
            </w:pPr>
            <w:r>
              <w:rPr>
                <w:rFonts w:ascii="Times New Roman" w:hAnsi="Times New Roman" w:cs="Times New Roman"/>
                <w:b w:val="0"/>
                <w:i w:val="0"/>
                <w:sz w:val="24"/>
              </w:rPr>
              <w:t>0,293</w:t>
            </w:r>
          </w:p>
        </w:tc>
        <w:tc>
          <w:tcPr>
            <w:tcW w:type="dxa" w:w="1814"/>
          </w:tcPr>
          <w:p>
            <w:pPr>
              <w:jc w:val="center"/>
            </w:pPr>
            <w:r>
              <w:rPr>
                <w:rFonts w:ascii="Times New Roman" w:hAnsi="Times New Roman" w:cs="Times New Roman"/>
                <w:b w:val="0"/>
                <w:i w:val="0"/>
                <w:sz w:val="24"/>
              </w:rPr>
              <w:t>0,250</w:t>
            </w:r>
          </w:p>
        </w:tc>
      </w:tr>
      <w:tr>
        <w:tc>
          <w:tcPr>
            <w:tcW w:type="dxa" w:w="1814"/>
          </w:tcPr>
          <w:p>
            <w:pPr>
              <w:jc w:val="left"/>
            </w:pPr>
            <w:r>
              <w:rPr>
                <w:rFonts w:ascii="Times New Roman" w:hAnsi="Times New Roman" w:cs="Times New Roman"/>
                <w:b w:val="0"/>
                <w:i w:val="0"/>
                <w:sz w:val="24"/>
              </w:rPr>
              <w:t>9</w:t>
            </w:r>
          </w:p>
        </w:tc>
        <w:tc>
          <w:tcPr>
            <w:tcW w:type="dxa" w:w="1814"/>
          </w:tcPr>
          <w:p>
            <w:pPr>
              <w:jc w:val="center"/>
            </w:pPr>
            <w:r>
              <w:rPr>
                <w:rFonts w:ascii="Times New Roman" w:hAnsi="Times New Roman" w:cs="Times New Roman"/>
                <w:b w:val="0"/>
                <w:i w:val="0"/>
                <w:sz w:val="24"/>
              </w:rPr>
              <w:t>0,161</w:t>
            </w:r>
          </w:p>
        </w:tc>
        <w:tc>
          <w:tcPr>
            <w:tcW w:type="dxa" w:w="1814"/>
          </w:tcPr>
          <w:p>
            <w:pPr>
              <w:jc w:val="center"/>
            </w:pPr>
            <w:r>
              <w:rPr>
                <w:rFonts w:ascii="Times New Roman" w:hAnsi="Times New Roman" w:cs="Times New Roman"/>
                <w:b w:val="0"/>
                <w:i w:val="0"/>
                <w:sz w:val="24"/>
              </w:rPr>
              <w:t>0,793</w:t>
            </w:r>
          </w:p>
        </w:tc>
        <w:tc>
          <w:tcPr>
            <w:tcW w:type="dxa" w:w="1814"/>
          </w:tcPr>
          <w:p>
            <w:pPr>
              <w:jc w:val="center"/>
            </w:pPr>
            <w:r>
              <w:rPr>
                <w:rFonts w:ascii="Times New Roman" w:hAnsi="Times New Roman" w:cs="Times New Roman"/>
                <w:b w:val="0"/>
                <w:i w:val="0"/>
                <w:sz w:val="24"/>
              </w:rPr>
              <w:t>0,267</w:t>
            </w:r>
          </w:p>
        </w:tc>
        <w:tc>
          <w:tcPr>
            <w:tcW w:type="dxa" w:w="1814"/>
          </w:tcPr>
          <w:p>
            <w:pPr>
              <w:jc w:val="center"/>
            </w:pPr>
            <w:r>
              <w:rPr>
                <w:rFonts w:ascii="Times New Roman" w:hAnsi="Times New Roman" w:cs="Times New Roman"/>
                <w:b w:val="0"/>
                <w:i w:val="0"/>
                <w:sz w:val="24"/>
              </w:rPr>
              <w:t>0,222</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0,146</w:t>
            </w:r>
          </w:p>
        </w:tc>
        <w:tc>
          <w:tcPr>
            <w:tcW w:type="dxa" w:w="1814"/>
          </w:tcPr>
          <w:p>
            <w:pPr>
              <w:jc w:val="center"/>
            </w:pPr>
            <w:r>
              <w:rPr>
                <w:rFonts w:ascii="Times New Roman" w:hAnsi="Times New Roman" w:cs="Times New Roman"/>
                <w:b w:val="0"/>
                <w:i w:val="0"/>
                <w:sz w:val="24"/>
              </w:rPr>
              <w:t>0,806</w:t>
            </w:r>
          </w:p>
        </w:tc>
        <w:tc>
          <w:tcPr>
            <w:tcW w:type="dxa" w:w="1814"/>
          </w:tcPr>
          <w:p>
            <w:pPr>
              <w:jc w:val="center"/>
            </w:pPr>
            <w:r>
              <w:rPr>
                <w:rFonts w:ascii="Times New Roman" w:hAnsi="Times New Roman" w:cs="Times New Roman"/>
                <w:b w:val="0"/>
                <w:i w:val="0"/>
                <w:sz w:val="24"/>
              </w:rPr>
              <w:t>0,247</w:t>
            </w:r>
          </w:p>
        </w:tc>
        <w:tc>
          <w:tcPr>
            <w:tcW w:type="dxa" w:w="1814"/>
          </w:tcPr>
          <w:p>
            <w:pPr>
              <w:jc w:val="center"/>
            </w:pPr>
            <w:r>
              <w:rPr>
                <w:rFonts w:ascii="Times New Roman" w:hAnsi="Times New Roman" w:cs="Times New Roman"/>
                <w:b w:val="0"/>
                <w:i w:val="0"/>
                <w:sz w:val="24"/>
              </w:rPr>
              <w:t>0,200</w:t>
            </w:r>
          </w:p>
        </w:tc>
      </w:tr>
    </w:tbl>
    <w:p>
      <w:pPr>
        <w:spacing w:after="120"/>
      </w:pPr>
    </w:p>
    <w:p>
      <w:pPr>
        <w:spacing w:before="120"/>
        <w:jc w:val="center"/>
      </w:pPr>
      <w:r>
        <w:drawing>
          <wp:inline xmlns:a="http://schemas.openxmlformats.org/drawingml/2006/main" xmlns:pic="http://schemas.openxmlformats.org/drawingml/2006/picture">
            <wp:extent cx="5040000" cy="2964706"/>
            <wp:docPr id="6" name="Picture 6"/>
            <wp:cNvGraphicFramePr>
              <a:graphicFrameLocks noChangeAspect="1"/>
            </wp:cNvGraphicFramePr>
            <a:graphic>
              <a:graphicData uri="http://schemas.openxmlformats.org/drawingml/2006/picture">
                <pic:pic>
                  <pic:nvPicPr>
                    <pic:cNvPr id="0" name="pr_sweep.png"/>
                    <pic:cNvPicPr/>
                  </pic:nvPicPr>
                  <pic:blipFill>
                    <a:blip r:embed="rId16"/>
                    <a:stretch>
                      <a:fillRect/>
                    </a:stretch>
                  </pic:blipFill>
                  <pic:spPr>
                    <a:xfrm>
                      <a:off x="0" y="0"/>
                      <a:ext cx="5040000" cy="2964706"/>
                    </a:xfrm>
                    <a:prstGeom prst="rect"/>
                  </pic:spPr>
                </pic:pic>
              </a:graphicData>
            </a:graphic>
          </wp:inline>
        </w:drawing>
      </w:r>
    </w:p>
    <w:p>
      <w:pPr>
        <w:spacing w:after="200"/>
        <w:jc w:val="center"/>
      </w:pPr>
      <w:r>
        <w:rPr>
          <w:rFonts w:ascii="Times New Roman" w:hAnsi="Times New Roman" w:cs="Times New Roman"/>
          <w:b/>
          <w:i w:val="0"/>
          <w:sz w:val="24"/>
        </w:rPr>
        <w:t>Hình 4.2. Precision/Recall/F1 và trần Precision theo số nguồn k</w:t>
      </w:r>
    </w:p>
    <w:p>
      <w:pPr>
        <w:spacing w:line="360" w:lineRule="auto" w:after="120"/>
        <w:ind w:firstLine="567"/>
        <w:jc w:val="both"/>
      </w:pPr>
      <w:r>
        <w:rPr>
          <w:rFonts w:ascii="Times New Roman" w:hAnsi="Times New Roman" w:cs="Times New Roman"/>
          <w:b w:val="0"/>
          <w:i w:val="0"/>
          <w:sz w:val="26"/>
        </w:rPr>
        <w:t>Quét chi tiết k = 1..10 (Hình 4.2) thể hiện rõ đánh đổi kinh điển: khi k tăng, Recall tăng đều (0,436 → 0,806) trong khi Precision giảm (0,650 → 0,146). F1 — trung bình điều hòa của hai đại lượng — đạt cực đại tại k = 2 (0,555); việc quét thô (chỉ k = 1, 3, 5, 10) dễ bỏ sót điểm cực đại này, cho thấy giá trị của khảo sát dải k mịn.</w:t>
      </w:r>
    </w:p>
    <w:p>
      <w:pPr>
        <w:spacing w:line="360" w:lineRule="auto" w:after="120"/>
        <w:ind w:firstLine="567"/>
        <w:jc w:val="both"/>
      </w:pPr>
      <w:r>
        <w:rPr>
          <w:rFonts w:ascii="Times New Roman" w:hAnsi="Times New Roman" w:cs="Times New Roman"/>
          <w:b w:val="0"/>
          <w:i w:val="0"/>
          <w:sz w:val="26"/>
        </w:rPr>
        <w:t>So sánh ba thông số: Precision phản ánh độ “sạch” (ít nhiễu) còn Recall phản ánh độ “phủ” (ít bỏ sót); F1 cân bằng hai mặt. Vùng k = 2–3 cho F1 cao nhất nên tối ưu nếu ưu tiên độ chính xác của tập nguồn. Tuy nhiên, với bài toán sinh câu trả lời, việc cung cấp thêm ngữ cảnh (Recall cao hơn) thường có lợi cho LLM; vì vậy hệ thống chọn k = 5 làm mặc định — nơi Recall đã đạt ~0,75 mà ngữ cảnh chưa quá loãng. Đây là sự phân biệt giữa “k tối ưu cho truy xuất” (k≈2) và “k phù hợp cho sinh” (k≈5).</w:t>
      </w:r>
    </w:p>
    <w:p>
      <w:pPr>
        <w:spacing w:line="360" w:lineRule="auto" w:after="120"/>
        <w:ind w:firstLine="567"/>
        <w:jc w:val="both"/>
      </w:pPr>
      <w:r>
        <w:rPr>
          <w:rFonts w:ascii="Times New Roman" w:hAnsi="Times New Roman" w:cs="Times New Roman"/>
          <w:b w:val="0"/>
          <w:i w:val="0"/>
          <w:sz w:val="26"/>
        </w:rPr>
        <w:t>Một điểm phương pháp quan trọng: do mỗi câu chỉ có trung bình 2 văn bản liên quan, Precision bị chặn bởi trần P@k = min(|liên quan|, k)/k (đường nét đứt, Hình 4.2). Do đó Precision giảm theo k chủ yếu là hệ quả của trần giảm, không phải truy xuất kém đi — bằng chứng là tỷ lệ Precision đạt được so với trần lại TĂNG theo k (từ 65% ở k=1 lên 73% ở k=10). Khuyến nghị: khi báo cáo Precision trong miền có ít văn bản liên quan, nên trình bày kèm trần Precision hoặc dùng thêm MAP/nDCG để tránh hiểu nhầm.</w:t>
      </w:r>
    </w:p>
    <w:p>
      <w:pPr>
        <w:pStyle w:val="Heading2"/>
        <w:keepNext/>
        <w:spacing w:before="200" w:after="80"/>
      </w:pPr>
      <w:r>
        <w:rPr>
          <w:rFonts w:ascii="Times New Roman" w:hAnsi="Times New Roman" w:cs="Times New Roman"/>
          <w:b/>
          <w:i w:val="0"/>
          <w:color w:val="000000"/>
          <w:sz w:val="26"/>
        </w:rPr>
        <w:t>4.9.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trên bộ câu hỏi: lập chỉ mục embedding đạt khoảng 7,7 đoạn/giây (toàn corpus 367.462 đoạn mất khoảng 13 giờ, chạy nền và có khả năng resume); thời gian truy xuất trung bình (gồm cả bước reranker) khoảng 7,4 giây/câu; thời gian sinh câu trả lời trung bình khoảng 45 giây/câu. Mức thời gian này chấp nhận được cho mục đích tra cứu tham khảo, dù chưa đạt thời gian thực; có thể rút ngắn đáng kể nếu triển khai trên GPU. Việc lượng tử hóa GGUF Q4 là yếu tố then chốt giúp mô hình 3,7 tỷ tham số chạy được trong giới hạn 16GB RAM.</w:t>
      </w:r>
    </w:p>
    <w:p>
      <w:pPr>
        <w:spacing w:before="120"/>
        <w:jc w:val="center"/>
      </w:pPr>
      <w:r>
        <w:drawing>
          <wp:inline xmlns:a="http://schemas.openxmlformats.org/drawingml/2006/main" xmlns:pic="http://schemas.openxmlformats.org/drawingml/2006/picture">
            <wp:extent cx="3240000" cy="2492308"/>
            <wp:docPr id="7" name="Picture 7"/>
            <wp:cNvGraphicFramePr>
              <a:graphicFrameLocks noChangeAspect="1"/>
            </wp:cNvGraphicFramePr>
            <a:graphic>
              <a:graphicData uri="http://schemas.openxmlformats.org/drawingml/2006/picture">
                <pic:pic>
                  <pic:nvPicPr>
                    <pic:cNvPr id="0" name="latency.png"/>
                    <pic:cNvPicPr/>
                  </pic:nvPicPr>
                  <pic:blipFill>
                    <a:blip r:embed="rId17"/>
                    <a:stretch>
                      <a:fillRect/>
                    </a:stretch>
                  </pic:blipFill>
                  <pic:spPr>
                    <a:xfrm>
                      <a:off x="0" y="0"/>
                      <a:ext cx="3240000" cy="2492308"/>
                    </a:xfrm>
                    <a:prstGeom prst="rect"/>
                  </pic:spPr>
                </pic:pic>
              </a:graphicData>
            </a:graphic>
          </wp:inline>
        </w:drawing>
      </w:r>
    </w:p>
    <w:p>
      <w:pPr>
        <w:spacing w:after="200"/>
        <w:jc w:val="center"/>
      </w:pPr>
      <w:r>
        <w:rPr>
          <w:rFonts w:ascii="Times New Roman" w:hAnsi="Times New Roman" w:cs="Times New Roman"/>
          <w:b/>
          <w:i w:val="0"/>
          <w:sz w:val="24"/>
        </w:rPr>
        <w:t>Hình 4.3. Thời gian phản hồi trung bình (truy xuất và sinh)</w:t>
      </w:r>
    </w:p>
    <w:p>
      <w:pPr>
        <w:pStyle w:val="Heading2"/>
        <w:keepNext/>
        <w:spacing w:before="200" w:after="80"/>
      </w:pPr>
      <w:r>
        <w:rPr>
          <w:rFonts w:ascii="Times New Roman" w:hAnsi="Times New Roman" w:cs="Times New Roman"/>
          <w:b/>
          <w:i w:val="0"/>
          <w:color w:val="000000"/>
          <w:sz w:val="26"/>
        </w:rPr>
        <w:t>4.10. Chất lượng câu trả lời và mức độ trích dẫn</w:t>
      </w:r>
    </w:p>
    <w:p>
      <w:pPr>
        <w:spacing w:line="360" w:lineRule="auto" w:after="120"/>
        <w:ind w:firstLine="567"/>
        <w:jc w:val="both"/>
      </w:pPr>
      <w:r>
        <w:rPr>
          <w:rFonts w:ascii="Times New Roman" w:hAnsi="Times New Roman" w:cs="Times New Roman"/>
          <w:b w:val="0"/>
          <w:i w:val="0"/>
          <w:sz w:val="26"/>
        </w:rPr>
        <w:t>Để đánh giá phần sinh, đề tài chạy đầy đủ pipeline (Hybrid + Reranker + PhoGPT) trên 6 câu hỏi và rà soát thủ công. Kết quả: 6/6 câu trả lời (tỉ lệ 100%) trích dẫn đúng ít nhất một văn bản liên quan trong số nguồn truy xuất; các câu trả lời bám sát điều luật cụ thể (ví dụ Điều 19 Luật Khám bệnh chữa bệnh, Điều 33 và Điều 79 Luật Dược) và không bịa thông tin ngoài ngữ cảnh.</w:t>
      </w:r>
    </w:p>
    <w:p>
      <w:pPr>
        <w:spacing w:line="360" w:lineRule="auto" w:after="120"/>
        <w:ind w:firstLine="567"/>
        <w:jc w:val="both"/>
      </w:pPr>
      <w:r>
        <w:rPr>
          <w:rFonts w:ascii="Times New Roman" w:hAnsi="Times New Roman" w:cs="Times New Roman"/>
          <w:b w:val="0"/>
          <w:i w:val="0"/>
          <w:sz w:val="26"/>
        </w:rPr>
        <w:t>Hạn chế quan sát được: mô hình thỉnh thoảng nêu chi tiết phụ chưa chính xác (ví dụ một câu trả lời nhắc “Luật Khám bệnh, chữa bệnh 2009” trong khi nguồn trích dẫn là Luật 15/2023/QH15) — tuy nguồn dẫn vẫn đúng. Điều này cho thấy RAG giảm mạnh nhưng chưa loại bỏ hoàn toàn sai sót của phần sinh; cần kiểm chứng của con người với các nội dung pháp lý quan trọng.</w:t>
      </w:r>
    </w:p>
    <w:p>
      <w:pPr>
        <w:pStyle w:val="Heading2"/>
        <w:keepNext/>
        <w:spacing w:before="200" w:after="80"/>
      </w:pPr>
      <w:r>
        <w:rPr>
          <w:rFonts w:ascii="Times New Roman" w:hAnsi="Times New Roman" w:cs="Times New Roman"/>
          <w:b/>
          <w:i w:val="0"/>
          <w:color w:val="000000"/>
          <w:sz w:val="26"/>
        </w:rPr>
        <w:t>4.11. Thử thách với câu hỏi diễn đạt tự nhiên và thẩm định ground-truth</w:t>
      </w:r>
    </w:p>
    <w:p>
      <w:pPr>
        <w:spacing w:line="360" w:lineRule="auto" w:after="120"/>
        <w:ind w:firstLine="567"/>
        <w:jc w:val="both"/>
      </w:pPr>
      <w:r>
        <w:rPr>
          <w:rFonts w:ascii="Times New Roman" w:hAnsi="Times New Roman" w:cs="Times New Roman"/>
          <w:b w:val="0"/>
          <w:i w:val="0"/>
          <w:sz w:val="26"/>
        </w:rPr>
        <w:t>Để kiểm tra hệ thống trong điều kiện gần thực tế hơn, đề tài bổ sung 30 câu hỏi diễn đạt tự nhiên theo kiểu người dân thường hỏi, cố ý không dùng từ vựng pháp lý (ví dụ: “Tôi muốn mở quầy thuốc ở quê thì cần bằng cấp gì?”, “Uống bia rồi lái xe máy về nhà có vi phạm không?”). Kết quả trên nhóm này thấp hơn rõ rệt so với nhóm câu mẫu: Hit@1 = 0,200 (so với 0,650), Hit@10 = 0,467 (so với 0,940), MRR = 0,271 (so với 0,764).</w:t>
      </w:r>
    </w:p>
    <w:p>
      <w:pPr>
        <w:spacing w:line="360" w:lineRule="auto" w:after="120"/>
        <w:ind w:firstLine="567"/>
        <w:jc w:val="both"/>
      </w:pPr>
      <w:r>
        <w:rPr>
          <w:rFonts w:ascii="Times New Roman" w:hAnsi="Times New Roman" w:cs="Times New Roman"/>
          <w:b w:val="0"/>
          <w:i w:val="0"/>
          <w:sz w:val="26"/>
        </w:rPr>
        <w:t>Phân tích các trường hợp trượt cho thấy hai nguyên nhân. Thứ nhất là khoảng cách từ vựng (lexical gap): câu hỏi đời thường (“mở quán ăn nhỏ”, “bằng cấp”) khác xa ngôn ngữ pháp lý (“cơ sở kinh doanh dịch vụ ăn uống”, “chứng chỉ hành nghề”), khiến cả BM25 lẫn embedding khó bắc cầu. Thứ hai là tính nghiêm ngặt của ground-truth: nhiều câu top-1 trả về văn bản dưới luật rất sát nhu cầu thực tế — ví dụ câu về bác sĩ nước ngoài và yêu cầu tiếng Việt trả về Nghị định 96/2023/NĐ-CP (nghị định hướng dẫn Luật Khám bệnh, chữa bệnh), câu về bảo hiểm y tế sinh viên trả về công văn hướng dẫn của Bộ Giáo dục — đúng nội dung nhưng không trùng số hiệu luật được gán nhãn, nên bị tính trượt. Như vậy con số 0,200 là cận dưới; chất lượng cảm nhận thực tế cao hơn.</w:t>
      </w:r>
    </w:p>
    <w:p>
      <w:pPr>
        <w:spacing w:line="360" w:lineRule="auto" w:after="120"/>
        <w:ind w:firstLine="567"/>
        <w:jc w:val="both"/>
      </w:pPr>
      <w:r>
        <w:rPr>
          <w:rFonts w:ascii="Times New Roman" w:hAnsi="Times New Roman" w:cs="Times New Roman"/>
          <w:b w:val="0"/>
          <w:i w:val="0"/>
          <w:sz w:val="26"/>
        </w:rPr>
        <w:t>Phát hiện này chỉ ra hai hướng cải tiến rõ ràng: (i) bổ sung bước viết lại truy vấn (query rewriting) — chuyển câu hỏi đời thường sang ngôn ngữ pháp lý trước khi truy xuất; và (ii) mở rộng ground-truth sang cả văn bản dưới luật liên quan. Đồng thời, để bảo đảm độ tin cậy của nhãn, đề tài đã lập Phiếu thẩm định bộ câu hỏi (toàn bộ 230 câu kèm nhãn, tệp PhieuThamDinh_BoCauHoi.docx) để chuyên gia pháp lý/giảng viên hướng dẫn rà soát và xác nhận — đưa quy trình đánh giá tiến gần chuẩn mực xây dựng tập kiểm thử có thẩm định.</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gồm 230 câu (50 soạn thủ công, 150 sinh từ tiêu đề Điều, 30 diễn đạt tự nhiên); kết quả trên nhóm câu tự nhiên thấp hơn rõ rệt (Mục 4.11) cho thấy khoảng cách từ vựng đời thường–pháp lý còn là thách thức. Phiếu thẩm định ground-truth đã lập nhưng cần chuyên gia pháp lý xác nhận chính thức.</w:t>
      </w:r>
    </w:p>
    <w:p>
      <w:pPr>
        <w:pStyle w:val="ListBullet"/>
        <w:spacing w:line="360" w:lineRule="auto" w:after="40"/>
      </w:pPr>
      <w:r>
        <w:rPr>
          <w:rFonts w:ascii="Times New Roman" w:hAnsi="Times New Roman" w:cs="Times New Roman"/>
          <w:b w:val="0"/>
          <w:i w:val="0"/>
          <w:sz w:val="26"/>
        </w:rPr>
        <w:t>Tốc độ sinh trên CPU (trung bình ~52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Bổ sung bước viết lại truy vấn (query rewriting) để bắc cầu từ vựng đời thường – pháp lý, cải thiện kết quả trên câu hỏi tự nhiên.</w:t>
      </w:r>
    </w:p>
    <w:p>
      <w:pPr>
        <w:pStyle w:val="ListBullet"/>
        <w:spacing w:line="360" w:lineRule="auto" w:after="40"/>
      </w:pPr>
      <w:r>
        <w:rPr>
          <w:rFonts w:ascii="Times New Roman" w:hAnsi="Times New Roman" w:cs="Times New Roman"/>
          <w:b w:val="0"/>
          <w:i w:val="0"/>
          <w:sz w:val="26"/>
        </w:rPr>
        <w:t>Hoàn tất thẩm định ground-truth với chuyên gia pháp lý; mở rộng nhãn sang văn bản dưới luật liên quan;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