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3.1. Lược đồ tuần tự xử lý một câu hỏi</w:t>
      </w:r>
    </w:p>
    <w:p>
      <w:pPr>
        <w:spacing w:line="360" w:lineRule="auto" w:after="120"/>
        <w:jc w:val="left"/>
      </w:pPr>
      <w:r>
        <w:rPr>
          <w:rFonts w:ascii="Times New Roman" w:hAnsi="Times New Roman" w:cs="Times New Roman"/>
          <w:b w:val="0"/>
          <w:i w:val="0"/>
          <w:sz w:val="26"/>
        </w:rPr>
        <w:t>Hình 3.2. Giao diện web demo</w:t>
      </w:r>
    </w:p>
    <w:p>
      <w:pPr>
        <w:spacing w:line="360" w:lineRule="auto" w:after="120"/>
        <w:jc w:val="left"/>
      </w:pPr>
      <w:r>
        <w:rPr>
          <w:rFonts w:ascii="Times New Roman" w:hAnsi="Times New Roman" w:cs="Times New Roman"/>
          <w:b w:val="0"/>
          <w:i w:val="0"/>
          <w:sz w:val="26"/>
        </w:rPr>
        <w:t>Hình 4.1. So sánh chất lượng truy xuất giữa các cấu hình</w:t>
      </w:r>
    </w:p>
    <w:p>
      <w:pPr>
        <w:spacing w:line="360" w:lineRule="auto" w:after="120"/>
        <w:jc w:val="left"/>
      </w:pPr>
      <w:r>
        <w:rPr>
          <w:rFonts w:ascii="Times New Roman" w:hAnsi="Times New Roman" w:cs="Times New Roman"/>
          <w:b w:val="0"/>
          <w:i w:val="0"/>
          <w:sz w:val="26"/>
        </w:rPr>
        <w:t>Hình 4.2. Precision/Recall/F1 theo số nguồn k</w:t>
      </w:r>
    </w:p>
    <w:p>
      <w:pPr>
        <w:spacing w:line="360" w:lineRule="auto" w:after="120"/>
        <w:jc w:val="left"/>
      </w:pPr>
      <w:r>
        <w:rPr>
          <w:rFonts w:ascii="Times New Roman" w:hAnsi="Times New Roman" w:cs="Times New Roman"/>
          <w:b w:val="0"/>
          <w:i w:val="0"/>
          <w:sz w:val="26"/>
        </w:rPr>
        <w:t>Hình 4.3. Thời gian phản hồi trung bình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pacing w:line="360" w:lineRule="auto" w:after="120"/>
        <w:jc w:val="left"/>
      </w:pPr>
      <w:r>
        <w:rPr>
          <w:rFonts w:ascii="Times New Roman" w:hAnsi="Times New Roman" w:cs="Times New Roman"/>
          <w:b w:val="0"/>
          <w:i w:val="0"/>
          <w:sz w:val="26"/>
        </w:rPr>
        <w:t>Bảng 4.3. Precision/Recall/F1 theo số nguồn 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(so sánh với mọi điểm) quá chậm cho thời gian thực, nên dùng chỉ mục lân cận gần đúng (Approximate Nearest Neighbor — ANN).</w:t>
      </w:r>
    </w:p>
    <w:p>
      <w:pPr>
        <w:spacing w:line="360" w:lineRule="auto" w:after="120"/>
        <w:ind w:firstLine="567"/>
        <w:jc w:val="both"/>
      </w:pPr>
      <w:r>
        <w:rPr>
          <w:rFonts w:ascii="Times New Roman" w:hAnsi="Times New Roman" w:cs="Times New Roman"/>
          <w:b w:val="0"/>
          <w:i w:val="0"/>
          <w:sz w:val="26"/>
        </w:rPr>
        <w:t>ChromaDB [9] sử dụng thuật toán HNSW (Hierarchical Navigable Small World): xây một đồ thị nhiều tầng, tầng trên thưa để “nhảy xa”, tầng dưới dày để tinh chỉnh; khi truy vấn, thuật toán bắt đầu từ tầng trên và đi xuống dần theo các cạnh gần câu hỏi nhất. Cách này đánh đổi một phần độ chính xác lấy tốc độ truy vấn gần như hằng số theo kích thước kho, phù hợp với hàng trăm nghìn vector. ChromaDB còn lưu kèm metadata (số hiệu, loại văn bản, tình trạng hiệu lực…), cho phép lọc ngay trong truy vấn (ví dụ chỉ lấy văn bản còn hiệu lực) — rất hữu ích cho yêu cầu “chỉ tư vấn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Điểm BM25 của tài liệu d với truy vấn q được tính theo công thức:</w:t>
      </w:r>
    </w:p>
    <w:p>
      <w:pPr>
        <w:spacing w:after="120"/>
        <w:jc w:val="center"/>
      </w:pPr>
      <w:r>
        <w:rPr>
          <w:rFonts w:ascii="Times New Roman" w:hAnsi="Times New Roman" w:cs="Times New Roman"/>
          <w:b w:val="0"/>
          <w:i/>
          <w:sz w:val="26"/>
        </w:rPr>
        <w:t>BM25(q,d) = Σ IDF(t) · [ f(t,d)·(k1+1) ] / [ f(t,d) + k1·(1 − b + b·|d|/avgdl) ]</w:t>
      </w:r>
    </w:p>
    <w:p>
      <w:pPr>
        <w:spacing w:line="360" w:lineRule="auto" w:after="120"/>
        <w:ind w:firstLine="567"/>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k1 điều chỉnh độ bão hòa tần suất từ và b điều chỉnh mức chuẩn hóa theo độ dài. BM25 mạnh ở các truy vấn chứa từ khóa hiếm hoặc định danh chính xác — đặc biệt là số hiệu văn bản như “147/2025/NĐ-CP” — vốn là điểm yếu cố hữu của embedding ngữ nghĩa, do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2"/>
        <w:keepNext/>
        <w:spacing w:before="200" w:after="80"/>
      </w:pPr>
      <w:r>
        <w:rPr>
          <w:rFonts w:ascii="Times New Roman" w:hAnsi="Times New Roman" w:cs="Times New Roman"/>
          <w:b/>
          <w:i w:val="0"/>
          <w:color w:val="000000"/>
          <w:sz w:val="26"/>
        </w:rPr>
        <w:t>1.8. Một số công trình liên quan</w:t>
      </w:r>
    </w:p>
    <w:p>
      <w:pPr>
        <w:spacing w:line="360" w:lineRule="auto" w:after="120"/>
        <w:ind w:firstLine="567"/>
        <w:jc w:val="both"/>
      </w:pPr>
      <w:r>
        <w:rPr>
          <w:rFonts w:ascii="Times New Roman" w:hAnsi="Times New Roman" w:cs="Times New Roman"/>
          <w:b w:val="0"/>
          <w:i w:val="0"/>
          <w:sz w:val="26"/>
        </w:rPr>
        <w:t>Kiến trúc RAG được Lewis và cộng sự [1] đề xuất, kết hợp truy xuất tài liệu với mô hình sinh để giải các tác vụ đòi hỏi tri thức. Về biểu diễn câu, Sentence-BERT [4] cho thấy việc tinh chỉnh BERT theo kiến trúc Siamese cải thiện rõ chất lượng đo tương đồng câu so với dùng vector [CLS] thô. Đối với tiếng Việt, PhoBERT [2] là mô hình nền tảng cho nhiều tác vụ; trên cơ sở đó, các mô hình bi-encoder tiếng Việt như vietnamese-bi-encoder [7] và bộ xếp hạng PhoRanker [8] được phát triển cho tìm kiếm và xếp hạng. Về sinh ngôn ngữ tiếng Việt, PhoGPT [3] là một trong các LLM mở quy mô vừa, phù hợp triển khai cục bộ sau lượng tử hóa.</w:t>
      </w:r>
    </w:p>
    <w:p>
      <w:pPr>
        <w:spacing w:line="360" w:lineRule="auto" w:after="120"/>
        <w:ind w:firstLine="567"/>
        <w:jc w:val="both"/>
      </w:pPr>
      <w:r>
        <w:rPr>
          <w:rFonts w:ascii="Times New Roman" w:hAnsi="Times New Roman" w:cs="Times New Roman"/>
          <w:b w:val="0"/>
          <w:i w:val="0"/>
          <w:sz w:val="26"/>
        </w:rPr>
        <w:t>Về kỹ thuật truy xuất, BM25 [5] vẫn là chuẩn mạnh cho tìm kiếm từ vựng; việc kết hợp tín hiệu từ vựng và ngữ nghĩa (hybrid) bằng Reciprocal Rank Fusion [6] thường vượt trội so với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là định danh quan trọng nhất để trích dẫn; nếu xóa các dấu này, số hiệu sẽ bị biến dạng, làm hỏng khả năng tra cứu. Ví dụ minh họa:</w:t>
      </w:r>
    </w:p>
    <w:p>
      <w:pPr>
        <w:spacing w:line="360" w:lineRule="auto" w:after="120"/>
        <w:ind w:firstLine="567"/>
        <w:jc w:val="left"/>
      </w:pPr>
      <w:r>
        <w:rPr>
          <w:rFonts w:ascii="Times New Roman" w:hAnsi="Times New Roman" w:cs="Times New Roman"/>
          <w:b w:val="0"/>
          <w:i w:val="0"/>
          <w:sz w:val="26"/>
        </w:rPr>
        <w:t>• Trước (làm sạch sai của pipeline cũ): “… Nghị định 147 2025 NĐ CP …” → mất cấu trúc số hiệu.</w:t>
        <w:br/>
        <w:t>• Sau (làm sạch đúng): “… Nghị định 147/2025/NĐ-CP …” → giữ nguyên định danh.</w:t>
      </w:r>
    </w:p>
    <w:p>
      <w:pPr>
        <w:spacing w:line="360" w:lineRule="auto" w:after="120"/>
        <w:ind w:firstLine="567"/>
        <w:jc w:val="both"/>
      </w:pPr>
      <w:r>
        <w:rPr>
          <w:rFonts w:ascii="Times New Roman" w:hAnsi="Times New Roman" w:cs="Times New Roman"/>
          <w:b w:val="0"/>
          <w:i w:val="0"/>
          <w:sz w:val="26"/>
        </w:rPr>
        <w:t>Trong pipeline ban đầu, chính lỗi xóa dấu này đã được phát hiện và sửa, cùng với lỗi nhân bản dữ liệu trình bày ở Mục 2.6.</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~1200 ký tự, thêm phần chồng lấp (overlap) 150 ký tự ở đầu mỗi đoạn kế tiếp.</w:t>
      </w:r>
    </w:p>
    <w:p>
      <w:pPr>
        <w:spacing w:line="360" w:lineRule="auto" w:after="120"/>
        <w:ind w:firstLine="567"/>
        <w:jc w:val="both"/>
      </w:pPr>
      <w:r>
        <w:rPr>
          <w:rFonts w:ascii="Times New Roman" w:hAnsi="Times New Roman" w:cs="Times New Roman"/>
          <w:b w:val="0"/>
          <w:i w:val="0"/>
          <w:sz w:val="26"/>
        </w:rPr>
        <w:t>Việc cắt theo “Điều” giúp mỗi đoạn là một đơn vị ngữ nghĩa tương đối hoàn chỉnh, thay vì cắt cứng theo số ký tự dễ làm đứt câu và mất ngữ cảnh. Phần chồng lấp giữ liên tục ngữ nghĩa giữa các đoạn liền kề, tránh mất thông tin nằm đúng ở ranh giới cắt. Giả thuyết “cắt theo Điều tốt hơn cắt cứng” được kiểm chứng định lượng ở Chương 4 (Thí nghiệm 3).</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 Trình tự tương tác giữa các thành phần được thể hiện ở Hình 3.1.</w:t>
      </w:r>
    </w:p>
    <w:p>
      <w:pPr>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after="200"/>
        <w:jc w:val="center"/>
      </w:pPr>
      <w:r>
        <w:rPr>
          <w:rFonts w:ascii="Times New Roman" w:hAnsi="Times New Roman" w:cs="Times New Roman"/>
          <w:b/>
          <w:i w:val="0"/>
          <w:sz w:val="24"/>
        </w:rPr>
        <w:t>Hình 3.1. Lược đồ tuần tự xử lý một câu hỏi</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3.2. Giao diện web demo: câu trả lời của PhoGPT kèm các nguồn trích dẫn</w:t>
      </w:r>
    </w:p>
    <w:p>
      <w:pPr>
        <w:spacing w:line="360" w:lineRule="auto" w:after="120"/>
        <w:ind w:firstLine="567"/>
        <w:jc w:val="both"/>
      </w:pPr>
      <w:r>
        <w:rPr>
          <w:rFonts w:ascii="Times New Roman" w:hAnsi="Times New Roman" w:cs="Times New Roman"/>
          <w:b w:val="0"/>
          <w:i w:val="0"/>
          <w:sz w:val="26"/>
        </w:rPr>
        <w:t>Backend cung cấp các điểm cuối (endpoint) chính như Bảng 3.2; cấu hình (chế độ LLM, bật/tắt hybrid và reranker) được điều khiển qua biến môi trường, thuận tiện cho việc thử nghiệm các cấu hình khác nhau khi đánh giá.</w:t>
      </w:r>
    </w:p>
    <w:p>
      <w:pPr>
        <w:spacing w:before="120"/>
        <w:jc w:val="center"/>
      </w:pPr>
      <w:r>
        <w:rPr>
          <w:rFonts w:ascii="Times New Roman" w:hAnsi="Times New Roman" w:cs="Times New Roman"/>
          <w:b/>
          <w:i w:val="0"/>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chỉ_hiệu_lực};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Phục vụ tài nguyên tĩnh (thư viện React đóng gói cục bộ)</w:t>
            </w:r>
          </w:p>
        </w:tc>
      </w:tr>
    </w:tbl>
    <w:p>
      <w:pPr>
        <w:spacing w:after="120"/>
      </w:pP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18 câu hỏi tiếng Việt bao phủ nhiều luật y tế trọng yếu (Khám bệnh chữa bệnh, Dược, An toàn thực phẩm, Bảo hiểm y tế, phòng chống tác hại thuốc lá/rượu bia, hiến mô tạng, HIV/AIDS, phòng bệnh). Mỗi câu hỏi được gán nhãn “văn bản liên quan” (ground-truth) là (các) luật điều chỉnh nội dung câu hỏi. Đặc biệt, nhãn được bổ sung các Văn bản hợp nhất (VBHN) tương đương — ví dụ 39/VBHN-VPQH là bản hợp nhất Luật Dược — vì chúng có cùng nội dung luật nhưng khác số hiệu. Chỉ mục dùng toàn bộ 367.462 đoạn. Các độ đo là Hit@k và MRR (Mục 1.7).</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(18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0,333</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0,667</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0,481</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0,389</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0,586</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0,500</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0,644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0,687</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0,722</w:t>
            </w:r>
          </w:p>
        </w:tc>
      </w:tr>
    </w:tbl>
    <w:p>
      <w:pPr>
        <w:spacing w:after="120"/>
      </w:pPr>
    </w:p>
    <w:p>
      <w:pPr>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Hit@3 từ 0,556 lên 0,778 (tăng 0,222) và MRR từ 0,481 lên 0,586 (tăng 0,105). Kết quả khẳng định giả thuyết lý thuyết ở Mục 1.2.1: vì PhoBERT được huấn luyện trên dữ liệu đã tách từ, việc tách từ nhất quán cả khi lập chỉ mục lẫn khi truy vấn giúp embedding của câu hỏi và đoạn cùng phân phối, từ đó khớp tốt hơn. Đây là một minh chứng định lượng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từ 0,389 lên 0,500 (tăng 0,111) và MRR tăng 0,058. Điều này phù hợp với phân tích ở Mục 1.5: cross-encoder đánh giá độ liên quan tinh tế hơn bi-encoder nhờ chú ý chéo, nên đẩy được tài liệu đúng lên vị trí cao hơn. Ghi nhận một đánh đổi: Hit@10 giảm nhẹ vì reranker chỉ làm việc trong phạm vi 30 ứng viên đầu; có thể tăng số ứng viên để giảm hiệu ứng này.</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nâng Hit@1 lên 0,556 và đạt Hit@10 = 1,000 (tìm thấy văn bản liên quan trong top-10 cho mọi câu hỏi); kết hợp thêm reranker cho MRR cao nhất 0,722 và Hit@5 0,944.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Ví dụ, câu “Những hành vi bị nghiêm cấm trong hoạt động dược?” trả về top-1 là một quyết định của Cục Quản lý Dược thay vì Luật Dược; câu về tiêm chủng trả về Nghị định 104/2016/NĐ-CP (nghị định chuyên về tiêm chủng) — thực chất rất sát nội dung, dù không trùng số hiệu luật được gán nhãn.</w:t>
      </w:r>
    </w:p>
    <w:p>
      <w:pPr>
        <w:spacing w:line="360" w:lineRule="auto" w:after="120"/>
        <w:ind w:firstLine="567"/>
        <w:jc w:val="both"/>
      </w:pPr>
      <w:r>
        <w:rPr>
          <w:rFonts w:ascii="Times New Roman" w:hAnsi="Times New Roman" w:cs="Times New Roman"/>
          <w:b w:val="0"/>
          <w:i w:val="0"/>
          <w:sz w:val="26"/>
        </w:rPr>
        <w:t>Thứ hai, vấn đề ground-truth: trước khi bổ sung các Văn bản hợp nhất (VBHN) tương đương, baseline chỉ đạt Hit@1 = 0,222; sau khi bổ sung tăng lên 0,389. Cụ thể, câu về an toàn thực phẩm trả về 61/VBHN-VPQH (bản hợp nhất Luật An toàn thực phẩm) và câu về HIV trả về 33/VBHN-VPQH (bản hợp nhất Luật phòng, chống HIV/AIDS) — đúng nội dung nhưng khác số hiệu. Điều này cho thấy chỉ số ban đầu đã đánh giá thấp năng lực thực của hệ thống, và việc xây dựng ground-truth cẩn thận (tính đến VBHN) là cần thiết để đánh giá công bằng trong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Precision, Recall và ảnh hưởng của số nguồn k</w:t>
      </w:r>
    </w:p>
    <w:p>
      <w:pPr>
        <w:spacing w:line="360" w:lineRule="auto" w:after="120"/>
        <w:ind w:firstLine="567"/>
        <w:jc w:val="both"/>
      </w:pPr>
      <w:r>
        <w:rPr>
          <w:rFonts w:ascii="Times New Roman" w:hAnsi="Times New Roman" w:cs="Times New Roman"/>
          <w:b w:val="0"/>
          <w:i w:val="0"/>
          <w:sz w:val="26"/>
        </w:rPr>
        <w:t>Bên cạnh Hit@k và MRR, đề tài đo Precision@k và Recall@k ở mức văn bản (sau khi gộp các đoạn về số hiệu văn bản) cho cấu hình Hybrid + Reranker, đồng thời khảo sát ảnh hưởng của số nguồn k truyền cho mô hình (Bảng 4.3, Hình 4.2).</w:t>
      </w:r>
    </w:p>
    <w:p>
      <w:pPr>
        <w:spacing w:before="120"/>
        <w:jc w:val="center"/>
      </w:pPr>
      <w:r>
        <w:rPr>
          <w:rFonts w:ascii="Times New Roman" w:hAnsi="Times New Roman" w:cs="Times New Roman"/>
          <w:b/>
          <w:i w:val="0"/>
          <w:sz w:val="24"/>
        </w:rPr>
        <w:t>Bảng 4.3. Precision/Recall/F1 theo số nguồn 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k</w:t>
            </w:r>
          </w:p>
        </w:tc>
        <w:tc>
          <w:tcPr>
            <w:tcW w:type="dxa" w:w="2268"/>
            <w:shd w:val="clear" w:fill="D9E2F3"/>
          </w:tcPr>
          <w:p>
            <w:pPr>
              <w:jc w:val="center"/>
            </w:pPr>
            <w:r>
              <w:rPr>
                <w:rFonts w:ascii="Times New Roman" w:hAnsi="Times New Roman" w:cs="Times New Roman"/>
                <w:b/>
                <w:i w:val="0"/>
                <w:sz w:val="24"/>
              </w:rPr>
              <w:t>Precision@k</w:t>
            </w:r>
          </w:p>
        </w:tc>
        <w:tc>
          <w:tcPr>
            <w:tcW w:type="dxa" w:w="2268"/>
            <w:shd w:val="clear" w:fill="D9E2F3"/>
          </w:tcPr>
          <w:p>
            <w:pPr>
              <w:jc w:val="center"/>
            </w:pPr>
            <w:r>
              <w:rPr>
                <w:rFonts w:ascii="Times New Roman" w:hAnsi="Times New Roman" w:cs="Times New Roman"/>
                <w:b/>
                <w:i w:val="0"/>
                <w:sz w:val="24"/>
              </w:rPr>
              <w:t>Recall@k</w:t>
            </w:r>
          </w:p>
        </w:tc>
        <w:tc>
          <w:tcPr>
            <w:tcW w:type="dxa" w:w="2268"/>
            <w:shd w:val="clear" w:fill="D9E2F3"/>
          </w:tcPr>
          <w:p>
            <w:pPr>
              <w:jc w:val="center"/>
            </w:pPr>
            <w:r>
              <w:rPr>
                <w:rFonts w:ascii="Times New Roman" w:hAnsi="Times New Roman" w:cs="Times New Roman"/>
                <w:b/>
                <w:i w:val="0"/>
                <w:sz w:val="24"/>
              </w:rPr>
              <w:t>F1@k</w:t>
            </w:r>
          </w:p>
        </w:tc>
      </w:tr>
      <w:tr>
        <w:tc>
          <w:tcPr>
            <w:tcW w:type="dxa" w:w="2268"/>
          </w:tcPr>
          <w:p>
            <w:pPr>
              <w:jc w:val="left"/>
            </w:pPr>
            <w:r>
              <w:rPr>
                <w:rFonts w:ascii="Times New Roman" w:hAnsi="Times New Roman" w:cs="Times New Roman"/>
                <w:b w:val="0"/>
                <w:i w:val="0"/>
                <w:sz w:val="24"/>
              </w:rPr>
              <w:t>1</w:t>
            </w:r>
          </w:p>
        </w:tc>
        <w:tc>
          <w:tcPr>
            <w:tcW w:type="dxa" w:w="2268"/>
          </w:tcPr>
          <w:p>
            <w:pPr>
              <w:jc w:val="center"/>
            </w:pPr>
            <w:r>
              <w:rPr>
                <w:rFonts w:ascii="Times New Roman" w:hAnsi="Times New Roman" w:cs="Times New Roman"/>
                <w:b w:val="0"/>
                <w:i w:val="0"/>
                <w:sz w:val="24"/>
              </w:rPr>
              <w:t>0,556</w:t>
            </w:r>
          </w:p>
        </w:tc>
        <w:tc>
          <w:tcPr>
            <w:tcW w:type="dxa" w:w="2268"/>
          </w:tcPr>
          <w:p>
            <w:pPr>
              <w:jc w:val="center"/>
            </w:pPr>
            <w:r>
              <w:rPr>
                <w:rFonts w:ascii="Times New Roman" w:hAnsi="Times New Roman" w:cs="Times New Roman"/>
                <w:b w:val="0"/>
                <w:i w:val="0"/>
                <w:sz w:val="24"/>
              </w:rPr>
              <w:t>0,366</w:t>
            </w:r>
          </w:p>
        </w:tc>
        <w:tc>
          <w:tcPr>
            <w:tcW w:type="dxa" w:w="2268"/>
          </w:tcPr>
          <w:p>
            <w:pPr>
              <w:jc w:val="center"/>
            </w:pPr>
            <w:r>
              <w:rPr>
                <w:rFonts w:ascii="Times New Roman" w:hAnsi="Times New Roman" w:cs="Times New Roman"/>
                <w:b w:val="0"/>
                <w:i w:val="0"/>
                <w:sz w:val="24"/>
              </w:rPr>
              <w:t>0,441</w:t>
            </w:r>
          </w:p>
        </w:tc>
      </w:tr>
      <w:tr>
        <w:tc>
          <w:tcPr>
            <w:tcW w:type="dxa" w:w="2268"/>
          </w:tcPr>
          <w:p>
            <w:pPr>
              <w:jc w:val="left"/>
            </w:pPr>
            <w:r>
              <w:rPr>
                <w:rFonts w:ascii="Times New Roman" w:hAnsi="Times New Roman" w:cs="Times New Roman"/>
                <w:b w:val="0"/>
                <w:i w:val="0"/>
                <w:sz w:val="24"/>
              </w:rPr>
              <w:t>3</w:t>
            </w:r>
          </w:p>
        </w:tc>
        <w:tc>
          <w:tcPr>
            <w:tcW w:type="dxa" w:w="2268"/>
          </w:tcPr>
          <w:p>
            <w:pPr>
              <w:jc w:val="center"/>
            </w:pPr>
            <w:r>
              <w:rPr>
                <w:rFonts w:ascii="Times New Roman" w:hAnsi="Times New Roman" w:cs="Times New Roman"/>
                <w:b w:val="0"/>
                <w:i w:val="0"/>
                <w:sz w:val="24"/>
              </w:rPr>
              <w:t>0,389</w:t>
            </w:r>
          </w:p>
        </w:tc>
        <w:tc>
          <w:tcPr>
            <w:tcW w:type="dxa" w:w="2268"/>
          </w:tcPr>
          <w:p>
            <w:pPr>
              <w:jc w:val="center"/>
            </w:pPr>
            <w:r>
              <w:rPr>
                <w:rFonts w:ascii="Times New Roman" w:hAnsi="Times New Roman" w:cs="Times New Roman"/>
                <w:b w:val="0"/>
                <w:i w:val="0"/>
                <w:sz w:val="24"/>
              </w:rPr>
              <w:t>0,625</w:t>
            </w:r>
          </w:p>
        </w:tc>
        <w:tc>
          <w:tcPr>
            <w:tcW w:type="dxa" w:w="2268"/>
          </w:tcPr>
          <w:p>
            <w:pPr>
              <w:jc w:val="center"/>
            </w:pPr>
            <w:r>
              <w:rPr>
                <w:rFonts w:ascii="Times New Roman" w:hAnsi="Times New Roman" w:cs="Times New Roman"/>
                <w:b w:val="0"/>
                <w:i w:val="0"/>
                <w:sz w:val="24"/>
              </w:rPr>
              <w:t>0,480</w:t>
            </w:r>
          </w:p>
        </w:tc>
      </w:tr>
      <w:tr>
        <w:tc>
          <w:tcPr>
            <w:tcW w:type="dxa" w:w="2268"/>
          </w:tcPr>
          <w:p>
            <w:pPr>
              <w:jc w:val="left"/>
            </w:pPr>
            <w:r>
              <w:rPr>
                <w:rFonts w:ascii="Times New Roman" w:hAnsi="Times New Roman" w:cs="Times New Roman"/>
                <w:b w:val="0"/>
                <w:i w:val="0"/>
                <w:sz w:val="24"/>
              </w:rPr>
              <w:t>5</w:t>
            </w:r>
          </w:p>
        </w:tc>
        <w:tc>
          <w:tcPr>
            <w:tcW w:type="dxa" w:w="2268"/>
          </w:tcPr>
          <w:p>
            <w:pPr>
              <w:jc w:val="center"/>
            </w:pPr>
            <w:r>
              <w:rPr>
                <w:rFonts w:ascii="Times New Roman" w:hAnsi="Times New Roman" w:cs="Times New Roman"/>
                <w:b w:val="0"/>
                <w:i w:val="0"/>
                <w:sz w:val="24"/>
              </w:rPr>
              <w:t>0,267</w:t>
            </w:r>
          </w:p>
        </w:tc>
        <w:tc>
          <w:tcPr>
            <w:tcW w:type="dxa" w:w="2268"/>
          </w:tcPr>
          <w:p>
            <w:pPr>
              <w:jc w:val="center"/>
            </w:pPr>
            <w:r>
              <w:rPr>
                <w:rFonts w:ascii="Times New Roman" w:hAnsi="Times New Roman" w:cs="Times New Roman"/>
                <w:b w:val="0"/>
                <w:i w:val="0"/>
                <w:sz w:val="24"/>
              </w:rPr>
              <w:t>0,681</w:t>
            </w:r>
          </w:p>
        </w:tc>
        <w:tc>
          <w:tcPr>
            <w:tcW w:type="dxa" w:w="2268"/>
          </w:tcPr>
          <w:p>
            <w:pPr>
              <w:jc w:val="center"/>
            </w:pPr>
            <w:r>
              <w:rPr>
                <w:rFonts w:ascii="Times New Roman" w:hAnsi="Times New Roman" w:cs="Times New Roman"/>
                <w:b w:val="0"/>
                <w:i w:val="0"/>
                <w:sz w:val="24"/>
              </w:rPr>
              <w:t>0,384</w:t>
            </w:r>
          </w:p>
        </w:tc>
      </w:tr>
      <w:tr>
        <w:tc>
          <w:tcPr>
            <w:tcW w:type="dxa" w:w="2268"/>
          </w:tcPr>
          <w:p>
            <w:pPr>
              <w:jc w:val="left"/>
            </w:pPr>
            <w:r>
              <w:rPr>
                <w:rFonts w:ascii="Times New Roman" w:hAnsi="Times New Roman" w:cs="Times New Roman"/>
                <w:b w:val="0"/>
                <w:i w:val="0"/>
                <w:sz w:val="24"/>
              </w:rPr>
              <w:t>10</w:t>
            </w:r>
          </w:p>
        </w:tc>
        <w:tc>
          <w:tcPr>
            <w:tcW w:type="dxa" w:w="2268"/>
          </w:tcPr>
          <w:p>
            <w:pPr>
              <w:jc w:val="center"/>
            </w:pPr>
            <w:r>
              <w:rPr>
                <w:rFonts w:ascii="Times New Roman" w:hAnsi="Times New Roman" w:cs="Times New Roman"/>
                <w:b w:val="0"/>
                <w:i w:val="0"/>
                <w:sz w:val="24"/>
              </w:rPr>
              <w:t>0,144</w:t>
            </w:r>
          </w:p>
        </w:tc>
        <w:tc>
          <w:tcPr>
            <w:tcW w:type="dxa" w:w="2268"/>
          </w:tcPr>
          <w:p>
            <w:pPr>
              <w:jc w:val="center"/>
            </w:pPr>
            <w:r>
              <w:rPr>
                <w:rFonts w:ascii="Times New Roman" w:hAnsi="Times New Roman" w:cs="Times New Roman"/>
                <w:b w:val="0"/>
                <w:i w:val="0"/>
                <w:sz w:val="24"/>
              </w:rPr>
              <w:t>0,722</w:t>
            </w:r>
          </w:p>
        </w:tc>
        <w:tc>
          <w:tcPr>
            <w:tcW w:type="dxa" w:w="2268"/>
          </w:tcPr>
          <w:p>
            <w:pPr>
              <w:jc w:val="center"/>
            </w:pPr>
            <w:r>
              <w:rPr>
                <w:rFonts w:ascii="Times New Roman" w:hAnsi="Times New Roman" w:cs="Times New Roman"/>
                <w:b w:val="0"/>
                <w:i w:val="0"/>
                <w:sz w:val="24"/>
              </w:rPr>
              <w:t>0,240</w:t>
            </w:r>
          </w:p>
        </w:tc>
      </w:tr>
    </w:tbl>
    <w:p>
      <w:pPr>
        <w:spacing w:after="120"/>
      </w:pPr>
    </w:p>
    <w:p>
      <w:pPr>
        <w:spacing w:before="120"/>
        <w:jc w:val="center"/>
      </w:pPr>
      <w:r>
        <w:drawing>
          <wp:inline xmlns:a="http://schemas.openxmlformats.org/drawingml/2006/main" xmlns:pic="http://schemas.openxmlformats.org/drawingml/2006/picture">
            <wp:extent cx="4680000" cy="2808000"/>
            <wp:docPr id="6" name="Picture 6"/>
            <wp:cNvGraphicFramePr>
              <a:graphicFrameLocks noChangeAspect="1"/>
            </wp:cNvGraphicFramePr>
            <a:graphic>
              <a:graphicData uri="http://schemas.openxmlformats.org/drawingml/2006/picture">
                <pic:pic>
                  <pic:nvPicPr>
                    <pic:cNvPr id="0" name="precision_recall_k.png"/>
                    <pic:cNvPicPr/>
                  </pic:nvPicPr>
                  <pic:blipFill>
                    <a:blip r:embed="rId16"/>
                    <a:stretch>
                      <a:fillRect/>
                    </a:stretch>
                  </pic:blipFill>
                  <pic:spPr>
                    <a:xfrm>
                      <a:off x="0" y="0"/>
                      <a:ext cx="4680000" cy="2808000"/>
                    </a:xfrm>
                    <a:prstGeom prst="rect"/>
                  </pic:spPr>
                </pic:pic>
              </a:graphicData>
            </a:graphic>
          </wp:inline>
        </w:drawing>
      </w:r>
    </w:p>
    <w:p>
      <w:pPr>
        <w:spacing w:after="200"/>
        <w:jc w:val="center"/>
      </w:pPr>
      <w:r>
        <w:rPr>
          <w:rFonts w:ascii="Times New Roman" w:hAnsi="Times New Roman" w:cs="Times New Roman"/>
          <w:b/>
          <w:i w:val="0"/>
          <w:sz w:val="24"/>
        </w:rPr>
        <w:t>Hình 4.2. Precision/Recall/F1 theo số nguồn k</w:t>
      </w:r>
    </w:p>
    <w:p>
      <w:pPr>
        <w:spacing w:line="360" w:lineRule="auto" w:after="120"/>
        <w:ind w:firstLine="567"/>
        <w:jc w:val="both"/>
      </w:pPr>
      <w:r>
        <w:rPr>
          <w:rFonts w:ascii="Times New Roman" w:hAnsi="Times New Roman" w:cs="Times New Roman"/>
          <w:b w:val="0"/>
          <w:i w:val="0"/>
          <w:sz w:val="26"/>
        </w:rPr>
        <w:t>Kết quả thể hiện rõ đánh đổi kinh điển: khi k tăng, Recall tăng (lấy về nhiều văn bản đúng hơn) nhưng Precision giảm (nhiều nhiễu hơn). F1 đạt cực đại tại k = 3 (0,480), cho thấy lấy khoảng 3–5 nguồn là cân bằng tốt giữa độ phủ và độ chính xác — phù hợp để truyền vào mô hình sinh mà không làm loãng ngữ cảnh.</w:t>
      </w:r>
    </w:p>
    <w:p>
      <w:pPr>
        <w:pStyle w:val="Heading2"/>
        <w:keepNext/>
        <w:spacing w:before="200" w:after="80"/>
      </w:pPr>
      <w:r>
        <w:rPr>
          <w:rFonts w:ascii="Times New Roman" w:hAnsi="Times New Roman" w:cs="Times New Roman"/>
          <w:b/>
          <w:i w:val="0"/>
          <w:color w:val="000000"/>
          <w:sz w:val="26"/>
        </w:rPr>
        <w:t>4.9.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trên bộ câu hỏi: lập chỉ mục embedding đạt khoảng 7,7 đoạn/giây (toàn corpus 367.462 đoạn mất khoảng 13 giờ, chạy nền và có khả năng resume); thời gian truy xuất trung bình (gồm cả bước reranker) khoảng 9 giây/câu; thời gian sinh câu trả lời trung bình khoảng 52 giây/câu (dao động 31–113 giây tùy độ dài). Mức thời gian này chấp nhận được cho mục đích tra cứu tham khảo, dù chưa đạt thời gian thực; có thể rút ngắn đáng kể nếu triển khai trên GPU. Việc lượng tử hóa GGUF Q4 là yếu tố then chốt giúp mô hình 3,7 tỷ tham số chạy được trong giới hạn 16GB RAM.</w:t>
      </w:r>
    </w:p>
    <w:p>
      <w:pPr>
        <w:spacing w:before="120"/>
        <w:jc w:val="center"/>
      </w:pPr>
      <w:r>
        <w:drawing>
          <wp:inline xmlns:a="http://schemas.openxmlformats.org/drawingml/2006/main" xmlns:pic="http://schemas.openxmlformats.org/drawingml/2006/picture">
            <wp:extent cx="3240000" cy="2492308"/>
            <wp:docPr id="7" name="Picture 7"/>
            <wp:cNvGraphicFramePr>
              <a:graphicFrameLocks noChangeAspect="1"/>
            </wp:cNvGraphicFramePr>
            <a:graphic>
              <a:graphicData uri="http://schemas.openxmlformats.org/drawingml/2006/picture">
                <pic:pic>
                  <pic:nvPicPr>
                    <pic:cNvPr id="0" name="latency.png"/>
                    <pic:cNvPicPr/>
                  </pic:nvPicPr>
                  <pic:blipFill>
                    <a:blip r:embed="rId17"/>
                    <a:stretch>
                      <a:fillRect/>
                    </a:stretch>
                  </pic:blipFill>
                  <pic:spPr>
                    <a:xfrm>
                      <a:off x="0" y="0"/>
                      <a:ext cx="3240000" cy="2492308"/>
                    </a:xfrm>
                    <a:prstGeom prst="rect"/>
                  </pic:spPr>
                </pic:pic>
              </a:graphicData>
            </a:graphic>
          </wp:inline>
        </w:drawing>
      </w:r>
    </w:p>
    <w:p>
      <w:pPr>
        <w:spacing w:after="200"/>
        <w:jc w:val="center"/>
      </w:pPr>
      <w:r>
        <w:rPr>
          <w:rFonts w:ascii="Times New Roman" w:hAnsi="Times New Roman" w:cs="Times New Roman"/>
          <w:b/>
          <w:i w:val="0"/>
          <w:sz w:val="24"/>
        </w:rPr>
        <w:t>Hình 4.3. Thời gian phản hồi trung bình (truy xuất và sinh)</w:t>
      </w:r>
    </w:p>
    <w:p>
      <w:pPr>
        <w:pStyle w:val="Heading2"/>
        <w:keepNext/>
        <w:spacing w:before="200" w:after="80"/>
      </w:pPr>
      <w:r>
        <w:rPr>
          <w:rFonts w:ascii="Times New Roman" w:hAnsi="Times New Roman" w:cs="Times New Roman"/>
          <w:b/>
          <w:i w:val="0"/>
          <w:color w:val="000000"/>
          <w:sz w:val="26"/>
        </w:rPr>
        <w:t>4.10. Chất lượng câu trả lời và mức độ trích dẫn</w:t>
      </w:r>
    </w:p>
    <w:p>
      <w:pPr>
        <w:spacing w:line="360" w:lineRule="auto" w:after="120"/>
        <w:ind w:firstLine="567"/>
        <w:jc w:val="both"/>
      </w:pPr>
      <w:r>
        <w:rPr>
          <w:rFonts w:ascii="Times New Roman" w:hAnsi="Times New Roman" w:cs="Times New Roman"/>
          <w:b w:val="0"/>
          <w:i w:val="0"/>
          <w:sz w:val="26"/>
        </w:rPr>
        <w:t>Để đánh giá phần sinh, đề tài chạy đầy đủ pipeline (Hybrid + Reranker + PhoGPT) trên 6 câu hỏi và rà soát thủ công. Kết quả: 6/6 câu trả lời (tỉ lệ 100%) trích dẫn đúng ít nhất một văn bản liên quan trong số nguồn truy xuất; các câu trả lời bám sát điều luật cụ thể (ví dụ Điều 19 Luật Khám bệnh chữa bệnh, Điều 33 và Điều 79 Luật Dược) và không bịa thông tin ngoài ngữ cảnh.</w:t>
      </w:r>
    </w:p>
    <w:p>
      <w:pPr>
        <w:spacing w:line="360" w:lineRule="auto" w:after="120"/>
        <w:ind w:firstLine="567"/>
        <w:jc w:val="both"/>
      </w:pPr>
      <w:r>
        <w:rPr>
          <w:rFonts w:ascii="Times New Roman" w:hAnsi="Times New Roman" w:cs="Times New Roman"/>
          <w:b w:val="0"/>
          <w:i w:val="0"/>
          <w:sz w:val="26"/>
        </w:rPr>
        <w:t>Hạn chế quan sát được: mô hình thỉnh thoảng nêu chi tiết phụ chưa chính xác (ví dụ một câu trả lời nhắc “Luật Khám bệnh, chữa bệnh 2009” trong khi nguồn trích dẫn là Luật 15/2023/QH15) — tuy nguồn dẫn vẫn đúng. Điều này cho thấy RAG giảm mạnh nhưng chưa loại bỏ hoàn toàn sai sót của phần sinh; cần kiểm chứng của con người với các nội dung pháp lý quan trọng.</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còn nhỏ (18 câu) và ground-truth do tác giả xây dựng; nên mở rộng quy mô và có chuyên gia pháp lý thẩm định.</w:t>
      </w:r>
    </w:p>
    <w:p>
      <w:pPr>
        <w:pStyle w:val="ListBullet"/>
        <w:spacing w:line="360" w:lineRule="auto" w:after="40"/>
      </w:pPr>
      <w:r>
        <w:rPr>
          <w:rFonts w:ascii="Times New Roman" w:hAnsi="Times New Roman" w:cs="Times New Roman"/>
          <w:b w:val="0"/>
          <w:i w:val="0"/>
          <w:sz w:val="26"/>
        </w:rPr>
        <w:t>Tốc độ sinh trên CPU (trung bình ~52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Mở rộng và chuẩn hóa bộ đánh giá;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