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Quick Question #1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following code return?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Set([1,1,2,2,3,4])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Set (4) {1 , 2, 3, 4}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Quick Question #2</w:t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following code return?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[...new Set("referee")].join("")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“ref”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Quick Questions #3</w:t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Map m look like after running the following code?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m = new Map();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m.set([1,2,3], true);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m.set([1,2,3], false);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0: {Array(3) =&gt; true}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1: {Array(3) =&gt; false}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hasDuplicate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called hasDuplicate which accepts an array and returns true or false if that array contains a duplicate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hasDuplicate([1,3,2,1]) // true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hasDuplicate([1,5,-1,4]) // false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vowelCount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function hasDuplicates(arr)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return new Set(arr).size !== arr.length;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Write a function called vowelCount which accepts a string and returns a map where the keys are numbers and the values are the count of the vowels in the string.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vowelCount('awesome') // Map { 'a' =&gt; 1, 'e' =&gt; 2, 'o' =&gt; 1 }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vowelCount('Colt') // Map { 'o' =&gt; 1 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function isVowel(char){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return "aeiou".includes(char);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  <w:t xml:space="preserve">function vowelCount(str){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const vowelMap = new Map();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for(let char of str){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let lowerCaseChar = char.toLowerCase()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if(isVowel(lowerCaseChar)){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if(vowelMap.has(lowerCaseChar)){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vowelMap.set(lowerCaseChar, vowelMap.get(lowerCaseChar) + 1);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} else 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vowelMap.set(lowerCaseChar, 1);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return vowelMap;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