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20"/>
        <w:jc w:val="center"/>
      </w:pPr>
      <w:r>
        <w:rPr>
          <w:rFonts w:ascii="Arial" w:cs="Arial" w:eastAsia="Arial" w:hAnsi="Arial"/>
          <w:b/>
          <w:bCs/>
          <w:color w:val="1B4F72"/>
          <w:sz w:val="56"/>
          <w:szCs w:val="56"/>
        </w:rPr>
        <w:t xml:space="preserve">30 / 60 / 90 DAY</w:t>
      </w:r>
    </w:p>
    <w:p>
      <w:pPr>
        <w:spacing w:after="240"/>
        <w:jc w:val="center"/>
      </w:pPr>
      <w:r>
        <w:rPr>
          <w:rFonts w:ascii="Arial" w:cs="Arial" w:eastAsia="Arial" w:hAnsi="Arial"/>
          <w:b/>
          <w:bCs/>
          <w:color w:val="1B4F72"/>
          <w:sz w:val="56"/>
          <w:szCs w:val="56"/>
        </w:rPr>
        <w:t xml:space="preserve">ONBOARDING PLAN</w:t>
      </w:r>
    </w:p>
    <w:p>
      <w:pPr>
        <w:spacing w:after="120"/>
        <w:jc w:val="center"/>
      </w:pPr>
      <w:r>
        <w:rPr>
          <w:rFonts w:ascii="Arial" w:cs="Arial" w:eastAsia="Arial" w:hAnsi="Arial"/>
          <w:color w:val="E67E22"/>
          <w:sz w:val="28"/>
          <w:szCs w:val="28"/>
        </w:rPr>
        <w:t xml:space="preserve">Enterprise Account Executive  |  Campfire</w:t>
      </w:r>
    </w:p>
    <w:p>
      <w:pPr>
        <w:spacing w:after="60"/>
        <w:jc w:val="center"/>
      </w:pPr>
      <w:r>
        <w:rPr>
          <w:rFonts w:ascii="Arial" w:cs="Arial" w:eastAsia="Arial" w:hAnsi="Arial"/>
          <w:color w:val="555555"/>
          <w:sz w:val="24"/>
          <w:szCs w:val="24"/>
        </w:rPr>
        <w:t xml:space="preserve">Scott Sowers</w:t>
      </w:r>
    </w:p>
    <w:p>
      <w:pPr>
        <w:spacing w:after="600"/>
        <w:jc w:val="center"/>
      </w:pPr>
      <w:r>
        <w:rPr>
          <w:rFonts w:ascii="Arial" w:cs="Arial" w:eastAsia="Arial" w:hAnsi="Arial"/>
          <w:color w:val="888888"/>
          <w:sz w:val="22"/>
          <w:szCs w:val="22"/>
        </w:rPr>
        <w:t xml:space="preserve">March 2026</w:t>
      </w:r>
    </w:p>
    <w:p>
      <w:pPr>
        <w:pBdr>
          <w:top w:val="single" w:color="1B4F72" w:sz="4" w:space="8"/>
          <w:bottom w:val="single" w:color="1B4F72" w:sz="4" w:space="8"/>
        </w:pBdr>
        <w:spacing w:after="240" w:before="240"/>
        <w:jc w:val="center"/>
      </w:pPr>
      <w:r>
        <w:rPr>
          <w:rFonts w:ascii="Arial" w:cs="Arial" w:eastAsia="Arial" w:hAnsi="Arial"/>
          <w:i/>
          <w:iCs/>
          <w:color w:val="666666"/>
          <w:sz w:val="20"/>
          <w:szCs w:val="20"/>
        </w:rPr>
        <w:t xml:space="preserve">Powered by best practices from 30 Minutes to President’s Club + Campfire Sales Playbook</w:t>
      </w:r>
    </w:p>
    <w:p>
      <w:r>
        <w:br w:type="page"/>
      </w:r>
    </w:p>
    <w:p>
      <w:pPr>
        <w:pStyle w:val="Heading1"/>
        <w:spacing w:after="120" w:before="360"/>
      </w:pPr>
      <w:r>
        <w:rPr>
          <w:rFonts w:ascii="Arial" w:cs="Arial" w:eastAsia="Arial" w:hAnsi="Arial"/>
          <w:b/>
          <w:bCs/>
          <w:color w:val="1B4F72"/>
          <w:sz w:val="36"/>
          <w:szCs w:val="36"/>
        </w:rPr>
        <w:t xml:space="preserve">Plan Overview</w:t>
      </w:r>
    </w:p>
    <w:p>
      <w:pPr>
        <w:spacing w:after="120"/>
      </w:pPr>
      <w:r>
        <w:rPr>
          <w:rFonts w:ascii="Arial" w:cs="Arial" w:eastAsia="Arial" w:hAnsi="Arial"/>
          <w:sz w:val="22"/>
          <w:szCs w:val="22"/>
        </w:rPr>
        <w:t xml:space="preserve">This 30/60/90 day plan is designed to accelerate your ramp as an Enterprise AE at Campfire, selling our modern ERP/accounting platform to companies with 501+ employees. It blends Campfire’s internal sales process with proven tactics from 30 Minutes to President’s Club (30MPC) to help you build pipeline, run great discovery, and close deals faster.</w:t>
      </w:r>
    </w:p>
    <w:p>
      <w:pPr>
        <w:spacing w:after="120"/>
      </w:pPr>
      <w:r>
        <w:rPr>
          <w:rFonts w:ascii="Arial" w:cs="Arial" w:eastAsia="Arial" w:hAnsi="Arial"/>
          <w:sz w:val="22"/>
          <w:szCs w:val="22"/>
        </w:rPr>
        <w:t xml:space="preserve"/>
      </w:r>
    </w:p>
    <w:p>
      <w:pPr>
        <w:pStyle w:val="Heading2"/>
        <w:spacing w:after="120" w:before="240"/>
      </w:pPr>
      <w:r>
        <w:rPr>
          <w:rFonts w:ascii="Arial" w:cs="Arial" w:eastAsia="Arial" w:hAnsi="Arial"/>
          <w:b/>
          <w:bCs/>
          <w:color w:val="1B4F72"/>
          <w:sz w:val="28"/>
          <w:szCs w:val="28"/>
        </w:rPr>
        <w:t xml:space="preserve">Guiding Principles (from 30MPC)</w:t>
      </w:r>
    </w:p>
    <w:p>
      <w:pPr>
        <w:pStyle w:val="ListParagraph"/>
        <w:numPr>
          <w:ilvl w:val="0"/>
          <w:numId w:val="2"/>
        </w:numPr>
        <w:spacing w:after="60"/>
      </w:pPr>
      <w:r>
        <w:rPr>
          <w:rFonts w:ascii="Arial" w:cs="Arial" w:eastAsia="Arial" w:hAnsi="Arial"/>
          <w:b/>
          <w:bCs/>
          <w:sz w:val="22"/>
          <w:szCs w:val="22"/>
        </w:rPr>
        <w:t xml:space="preserve">Lead with problems, not features. </w:t>
      </w:r>
      <w:r>
        <w:rPr>
          <w:rFonts w:ascii="Arial" w:cs="Arial" w:eastAsia="Arial" w:hAnsi="Arial"/>
          <w:sz w:val="22"/>
          <w:szCs w:val="22"/>
        </w:rPr>
        <w:t xml:space="preserve">Prospects don’t care about your product until they care about their problem. Use a “problem proposition” instead of a value proposition.</w:t>
      </w:r>
    </w:p>
    <w:p>
      <w:pPr>
        <w:pStyle w:val="ListParagraph"/>
        <w:numPr>
          <w:ilvl w:val="0"/>
          <w:numId w:val="2"/>
        </w:numPr>
        <w:spacing w:after="60"/>
      </w:pPr>
      <w:r>
        <w:rPr>
          <w:rFonts w:ascii="Arial" w:cs="Arial" w:eastAsia="Arial" w:hAnsi="Arial"/>
          <w:b/>
          <w:bCs/>
          <w:sz w:val="22"/>
          <w:szCs w:val="22"/>
        </w:rPr>
        <w:t xml:space="preserve">Five Buyer Agreements. </w:t>
      </w:r>
      <w:r>
        <w:rPr>
          <w:rFonts w:ascii="Arial" w:cs="Arial" w:eastAsia="Arial" w:hAnsi="Arial"/>
          <w:sz w:val="22"/>
          <w:szCs w:val="22"/>
        </w:rPr>
        <w:t xml:space="preserve">Every deal requires the buyer to agree on five things: Problem, Priority, Evaluation Criteria, Value/Solution Fit, and Commercial Terms. Track these, not just meetings.</w:t>
      </w:r>
    </w:p>
    <w:p>
      <w:pPr>
        <w:pStyle w:val="ListParagraph"/>
        <w:numPr>
          <w:ilvl w:val="0"/>
          <w:numId w:val="2"/>
        </w:numPr>
        <w:spacing w:after="60"/>
      </w:pPr>
      <w:r>
        <w:rPr>
          <w:rFonts w:ascii="Arial" w:cs="Arial" w:eastAsia="Arial" w:hAnsi="Arial"/>
          <w:b/>
          <w:bCs/>
          <w:sz w:val="22"/>
          <w:szCs w:val="22"/>
        </w:rPr>
        <w:t xml:space="preserve">Never leave a call without booking the next meeting. </w:t>
      </w:r>
      <w:r>
        <w:rPr>
          <w:rFonts w:ascii="Arial" w:cs="Arial" w:eastAsia="Arial" w:hAnsi="Arial"/>
          <w:sz w:val="22"/>
          <w:szCs w:val="22"/>
        </w:rPr>
        <w:t xml:space="preserve">Even if the time is likely to move, get it on the calendar before you hang up.</w:t>
      </w:r>
    </w:p>
    <w:p>
      <w:pPr>
        <w:pStyle w:val="ListParagraph"/>
        <w:numPr>
          <w:ilvl w:val="0"/>
          <w:numId w:val="2"/>
        </w:numPr>
        <w:spacing w:after="60"/>
      </w:pPr>
      <w:r>
        <w:rPr>
          <w:rFonts w:ascii="Arial" w:cs="Arial" w:eastAsia="Arial" w:hAnsi="Arial"/>
          <w:b/>
          <w:bCs/>
          <w:sz w:val="22"/>
          <w:szCs w:val="22"/>
        </w:rPr>
        <w:t xml:space="preserve">Sell the test drive, not the car. </w:t>
      </w:r>
      <w:r>
        <w:rPr>
          <w:rFonts w:ascii="Arial" w:cs="Arial" w:eastAsia="Arial" w:hAnsi="Arial"/>
          <w:sz w:val="22"/>
          <w:szCs w:val="22"/>
        </w:rPr>
        <w:t xml:space="preserve">Lower the bar: “Are you open to taking a look?” is more effective than pushing for a purchase commitment.</w:t>
      </w:r>
    </w:p>
    <w:p>
      <w:pPr>
        <w:pStyle w:val="ListParagraph"/>
        <w:numPr>
          <w:ilvl w:val="0"/>
          <w:numId w:val="2"/>
        </w:numPr>
        <w:spacing w:after="60"/>
      </w:pPr>
      <w:r>
        <w:rPr>
          <w:rFonts w:ascii="Arial" w:cs="Arial" w:eastAsia="Arial" w:hAnsi="Arial"/>
          <w:b/>
          <w:bCs/>
          <w:sz w:val="22"/>
          <w:szCs w:val="22"/>
        </w:rPr>
        <w:t xml:space="preserve">Rule of Threes. </w:t>
      </w:r>
      <w:r>
        <w:rPr>
          <w:rFonts w:ascii="Arial" w:cs="Arial" w:eastAsia="Arial" w:hAnsi="Arial"/>
          <w:sz w:val="22"/>
          <w:szCs w:val="22"/>
        </w:rPr>
        <w:t xml:space="preserve">Deliver information in groups of three for cognitive retention—three pain points, three differentiators, three next steps.</w:t>
      </w:r>
    </w:p>
    <w:p>
      <w:r>
        <w:br w:type="page"/>
      </w:r>
    </w:p>
    <w:p>
      <w:pPr>
        <w:pStyle w:val="Heading1"/>
        <w:spacing w:after="120" w:before="360"/>
      </w:pPr>
      <w:r>
        <w:rPr>
          <w:rFonts w:ascii="Arial" w:cs="Arial" w:eastAsia="Arial" w:hAnsi="Arial"/>
          <w:b/>
          <w:bCs/>
          <w:color w:val="1B4F72"/>
          <w:sz w:val="36"/>
          <w:szCs w:val="36"/>
        </w:rPr>
        <w:t xml:space="preserve">Days 1–30: Learn the Business &amp; Build Your Foundation</w:t>
      </w:r>
    </w:p>
    <w:p>
      <w:pPr>
        <w:spacing w:after="160"/>
      </w:pPr>
      <w:r>
        <w:rPr>
          <w:rFonts w:ascii="Arial" w:cs="Arial" w:eastAsia="Arial" w:hAnsi="Arial"/>
          <w:b/>
          <w:bCs/>
          <w:color w:val="E67E22"/>
          <w:sz w:val="22"/>
          <w:szCs w:val="22"/>
        </w:rPr>
        <w:t xml:space="preserve">THEME: </w:t>
      </w:r>
      <w:r>
        <w:rPr>
          <w:rFonts w:ascii="Arial" w:cs="Arial" w:eastAsia="Arial" w:hAnsi="Arial"/>
          <w:i/>
          <w:iCs/>
          <w:sz w:val="22"/>
          <w:szCs w:val="22"/>
        </w:rPr>
        <w:t xml:space="preserve">Absorb everything. Earn the right to have great conversations.</w:t>
      </w:r>
    </w:p>
    <w:p>
      <w:pPr>
        <w:pStyle w:val="Heading2"/>
        <w:spacing w:after="120" w:before="240"/>
      </w:pPr>
      <w:r>
        <w:rPr>
          <w:rFonts w:ascii="Arial" w:cs="Arial" w:eastAsia="Arial" w:hAnsi="Arial"/>
          <w:b/>
          <w:bCs/>
          <w:color w:val="1B4F72"/>
          <w:sz w:val="28"/>
          <w:szCs w:val="28"/>
        </w:rPr>
        <w:t xml:space="preserve">Product &amp; Market Knowledge</w:t>
      </w:r>
    </w:p>
    <w:p>
      <w:pPr>
        <w:pStyle w:val="ListParagraph"/>
        <w:numPr>
          <w:ilvl w:val="0"/>
          <w:numId w:val="3"/>
        </w:numPr>
        <w:spacing w:after="60"/>
      </w:pPr>
      <w:r>
        <w:rPr>
          <w:rFonts w:ascii="Arial" w:cs="Arial" w:eastAsia="Arial" w:hAnsi="Arial"/>
          <w:sz w:val="22"/>
          <w:szCs w:val="22"/>
        </w:rPr>
        <w:t xml:space="preserve">Complete all Campfire product training modules and certifications</w:t>
      </w:r>
    </w:p>
    <w:p>
      <w:pPr>
        <w:pStyle w:val="ListParagraph"/>
        <w:numPr>
          <w:ilvl w:val="0"/>
          <w:numId w:val="3"/>
        </w:numPr>
        <w:spacing w:after="60"/>
      </w:pPr>
      <w:r>
        <w:rPr>
          <w:rFonts w:ascii="Arial" w:cs="Arial" w:eastAsia="Arial" w:hAnsi="Arial"/>
          <w:sz w:val="22"/>
          <w:szCs w:val="22"/>
        </w:rPr>
        <w:t xml:space="preserve">Shadow 8–10 discovery calls and demos with Joe and other AEs—take detailed notes on talk tracks, objections, and transitions</w:t>
      </w:r>
    </w:p>
    <w:p>
      <w:pPr>
        <w:pStyle w:val="ListParagraph"/>
        <w:numPr>
          <w:ilvl w:val="0"/>
          <w:numId w:val="3"/>
        </w:numPr>
        <w:spacing w:after="60"/>
      </w:pPr>
      <w:r>
        <w:rPr>
          <w:rFonts w:ascii="Arial" w:cs="Arial" w:eastAsia="Arial" w:hAnsi="Arial"/>
          <w:sz w:val="22"/>
          <w:szCs w:val="22"/>
        </w:rPr>
        <w:t xml:space="preserve">Study the Sales Cycle Overview in Notion: Discovery → Demo → Pricing/Solutioning → Compliance/Legal → Closed Won/Lost</w:t>
      </w:r>
    </w:p>
    <w:p>
      <w:pPr>
        <w:pStyle w:val="ListParagraph"/>
        <w:numPr>
          <w:ilvl w:val="0"/>
          <w:numId w:val="3"/>
        </w:numPr>
        <w:spacing w:after="60"/>
      </w:pPr>
      <w:r>
        <w:rPr>
          <w:rFonts w:ascii="Arial" w:cs="Arial" w:eastAsia="Arial" w:hAnsi="Arial"/>
          <w:sz w:val="22"/>
          <w:szCs w:val="22"/>
        </w:rPr>
        <w:t xml:space="preserve">Learn Campfire’s competitive landscape: NetSuite, Sage Intacct, Rillet, and how to position against each using the comparison slides</w:t>
      </w:r>
    </w:p>
    <w:p>
      <w:pPr>
        <w:pStyle w:val="ListParagraph"/>
        <w:numPr>
          <w:ilvl w:val="0"/>
          <w:numId w:val="3"/>
        </w:numPr>
        <w:spacing w:after="60"/>
      </w:pPr>
      <w:r>
        <w:rPr>
          <w:rFonts w:ascii="Arial" w:cs="Arial" w:eastAsia="Arial" w:hAnsi="Arial"/>
          <w:sz w:val="22"/>
          <w:szCs w:val="22"/>
        </w:rPr>
        <w:t xml:space="preserve">Review 10 closed-won deals in HubSpot to understand what winning patterns look like</w:t>
      </w:r>
    </w:p>
    <w:p>
      <w:pPr>
        <w:pStyle w:val="ListParagraph"/>
        <w:numPr>
          <w:ilvl w:val="0"/>
          <w:numId w:val="3"/>
        </w:numPr>
        <w:spacing w:after="60"/>
      </w:pPr>
      <w:r>
        <w:rPr>
          <w:rFonts w:ascii="Arial" w:cs="Arial" w:eastAsia="Arial" w:hAnsi="Arial"/>
          <w:sz w:val="22"/>
          <w:szCs w:val="22"/>
        </w:rPr>
        <w:t xml:space="preserve">Review 5 closed-lost deals to understand common failure points and objection patterns</w:t>
      </w:r>
    </w:p>
    <w:p>
      <w:pPr>
        <w:pStyle w:val="Heading2"/>
        <w:spacing w:after="120" w:before="240"/>
      </w:pPr>
      <w:r>
        <w:rPr>
          <w:rFonts w:ascii="Arial" w:cs="Arial" w:eastAsia="Arial" w:hAnsi="Arial"/>
          <w:b/>
          <w:bCs/>
          <w:color w:val="1B4F72"/>
          <w:sz w:val="28"/>
          <w:szCs w:val="28"/>
        </w:rPr>
        <w:t xml:space="preserve">Tool Stack Mastery</w:t>
      </w:r>
    </w:p>
    <w:p>
      <w:pPr>
        <w:pStyle w:val="ListParagraph"/>
        <w:numPr>
          <w:ilvl w:val="0"/>
          <w:numId w:val="4"/>
        </w:numPr>
        <w:spacing w:after="60"/>
      </w:pPr>
      <w:r>
        <w:rPr>
          <w:rFonts w:ascii="Arial" w:cs="Arial" w:eastAsia="Arial" w:hAnsi="Arial"/>
          <w:sz w:val="22"/>
          <w:szCs w:val="22"/>
        </w:rPr>
        <w:t xml:space="preserve">Get fully set up in HubSpot: deal stages, custom fields, sequences, and reporting dashboards</w:t>
      </w:r>
    </w:p>
    <w:p>
      <w:pPr>
        <w:pStyle w:val="ListParagraph"/>
        <w:numPr>
          <w:ilvl w:val="0"/>
          <w:numId w:val="4"/>
        </w:numPr>
        <w:spacing w:after="60"/>
      </w:pPr>
      <w:r>
        <w:rPr>
          <w:rFonts w:ascii="Arial" w:cs="Arial" w:eastAsia="Arial" w:hAnsi="Arial"/>
          <w:sz w:val="22"/>
          <w:szCs w:val="22"/>
        </w:rPr>
        <w:t xml:space="preserve">Learn the lead routing system (Default router) and understand your 200-account named list</w:t>
      </w:r>
    </w:p>
    <w:p>
      <w:pPr>
        <w:pStyle w:val="ListParagraph"/>
        <w:numPr>
          <w:ilvl w:val="0"/>
          <w:numId w:val="4"/>
        </w:numPr>
        <w:spacing w:after="60"/>
      </w:pPr>
      <w:r>
        <w:rPr>
          <w:rFonts w:ascii="Arial" w:cs="Arial" w:eastAsia="Arial" w:hAnsi="Arial"/>
          <w:sz w:val="22"/>
          <w:szCs w:val="22"/>
        </w:rPr>
        <w:t xml:space="preserve">Set up Sybill for call recording and AI note generation</w:t>
      </w:r>
    </w:p>
    <w:p>
      <w:pPr>
        <w:pStyle w:val="ListParagraph"/>
        <w:numPr>
          <w:ilvl w:val="0"/>
          <w:numId w:val="4"/>
        </w:numPr>
        <w:spacing w:after="60"/>
      </w:pPr>
      <w:r>
        <w:rPr>
          <w:rFonts w:ascii="Arial" w:cs="Arial" w:eastAsia="Arial" w:hAnsi="Arial"/>
          <w:sz w:val="22"/>
          <w:szCs w:val="22"/>
        </w:rPr>
        <w:t xml:space="preserve">Get comfortable with the Notion Sales Knowledge Base and public wiki</w:t>
      </w:r>
    </w:p>
    <w:p>
      <w:pPr>
        <w:pStyle w:val="ListParagraph"/>
        <w:numPr>
          <w:ilvl w:val="0"/>
          <w:numId w:val="4"/>
        </w:numPr>
        <w:spacing w:after="60"/>
      </w:pPr>
      <w:r>
        <w:rPr>
          <w:rFonts w:ascii="Arial" w:cs="Arial" w:eastAsia="Arial" w:hAnsi="Arial"/>
          <w:sz w:val="22"/>
          <w:szCs w:val="22"/>
        </w:rPr>
        <w:t xml:space="preserve">Coordinate with Kyle and Ryan (SDRs) on outbound workflows and handoff expectations</w:t>
      </w:r>
    </w:p>
    <w:p>
      <w:pPr>
        <w:pStyle w:val="Heading2"/>
        <w:spacing w:after="120" w:before="240"/>
      </w:pPr>
      <w:r>
        <w:rPr>
          <w:rFonts w:ascii="Arial" w:cs="Arial" w:eastAsia="Arial" w:hAnsi="Arial"/>
          <w:b/>
          <w:bCs/>
          <w:color w:val="1B4F72"/>
          <w:sz w:val="28"/>
          <w:szCs w:val="28"/>
        </w:rPr>
        <w:t xml:space="preserve">Build Your Cold Outreach Playbook (30MPC Tactics)</w:t>
      </w:r>
    </w:p>
    <w:p>
      <w:pPr>
        <w:spacing w:after="120"/>
      </w:pPr>
      <w:r>
        <w:rPr>
          <w:rFonts w:ascii="Arial" w:cs="Arial" w:eastAsia="Arial" w:hAnsi="Arial"/>
          <w:sz w:val="22"/>
          <w:szCs w:val="22"/>
        </w:rPr>
        <w:t xml:space="preserve">Study and internalize these two proven cold call openers from 30MPC: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Opener</w:t>
            </w:r>
          </w:p>
        </w:tc>
        <w:tc>
          <w:tcPr>
            <w:tcW w:type="dxa" w:w="69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How It Works</w:t>
            </w:r>
          </w:p>
        </w:tc>
      </w:tr>
      <w:tr>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spacing w:after="40"/>
            </w:pPr>
            <w:r>
              <w:rPr>
                <w:rFonts w:ascii="Arial" w:cs="Arial" w:eastAsia="Arial" w:hAnsi="Arial"/>
                <w:b/>
                <w:bCs/>
                <w:sz w:val="20"/>
                <w:szCs w:val="20"/>
              </w:rPr>
              <w:t xml:space="preserve">Heard the Name Tossed Around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Lead with a common thread (shared investor, industry, geo), then introduce yourself, then ask: “Have you heard our name tossed around?” — 11.24% success rate per Gong data.</w:t>
            </w:r>
          </w:p>
        </w:tc>
      </w:tr>
      <w:tr>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spacing w:after="40"/>
            </w:pPr>
            <w:r>
              <w:rPr>
                <w:rFonts w:ascii="Arial" w:cs="Arial" w:eastAsia="Arial" w:hAnsi="Arial"/>
                <w:b/>
                <w:bCs/>
                <w:sz w:val="20"/>
                <w:szCs w:val="20"/>
              </w:rPr>
              <w:t xml:space="preserve">Tailored Permission Opener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Lead with research context (press release, hiring signal, funding), own the cold call, ask for 30 seconds: “Can I share why that prompted me to call you?” — 11.18% success rate.</w:t>
            </w:r>
          </w:p>
        </w:tc>
      </w:tr>
    </w:tbl>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Problem Proposition Framework: </w:t>
      </w:r>
      <w:r>
        <w:rPr>
          <w:rFonts w:ascii="Arial" w:cs="Arial" w:eastAsia="Arial" w:hAnsi="Arial"/>
          <w:sz w:val="22"/>
          <w:szCs w:val="22"/>
        </w:rPr>
        <w:t xml:space="preserve">Don’t pitch what Campfire does. Instead, describe the hairy, painful problem your buyer faces. Include the persona, the company context, when the problem happens, and the feeling it creates. Then offer one sentence on how Campfire helps. Example: “Most CFOs at high-growth companies tell me the most mind-numbing part of their job is spending hours every month cleaning up the books because of manual categorization errors and reconciliation headaches. Campfire automates that entire close process so you’re only focused on the exceptions that actually need your attention.”</w:t>
      </w:r>
    </w:p>
    <w:p>
      <w:pPr>
        <w:pStyle w:val="Heading2"/>
        <w:spacing w:after="120" w:before="240"/>
      </w:pPr>
      <w:r>
        <w:rPr>
          <w:rFonts w:ascii="Arial" w:cs="Arial" w:eastAsia="Arial" w:hAnsi="Arial"/>
          <w:b/>
          <w:bCs/>
          <w:color w:val="1B4F72"/>
          <w:sz w:val="28"/>
          <w:szCs w:val="28"/>
        </w:rPr>
        <w:t xml:space="preserve">Week 1–4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480"/>
        <w:gridCol w:w="3480"/>
      </w:tblGrid>
      <w:tr>
        <w:tc>
          <w:tcPr>
            <w:tcW w:type="dxa" w:w="1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Week</w:t>
            </w:r>
          </w:p>
        </w:tc>
        <w:tc>
          <w:tcPr>
            <w:tcW w:type="dxa" w:w="44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Focus</w:t>
            </w:r>
          </w:p>
        </w:tc>
        <w:tc>
          <w:tcPr>
            <w:tcW w:type="dxa" w:w="34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Deliverable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1</w:t>
            </w:r>
          </w:p>
        </w:tc>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Onboarding logistics, product training, tool setup</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All tools configured, training modules complete</w:t>
            </w:r>
          </w:p>
        </w:tc>
      </w:tr>
      <w:tr>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2</w:t>
            </w:r>
          </w:p>
        </w:tc>
        <w:tc>
          <w:tcPr>
            <w:tcW w:type="dxa" w:w="44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Shadow calls, study closed deals, learn competitors</w:t>
            </w:r>
          </w:p>
        </w:tc>
        <w:tc>
          <w:tcPr>
            <w:tcW w:type="dxa" w:w="34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Written competitive battle card (personal notes)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3</w:t>
            </w:r>
          </w:p>
        </w:tc>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Build cold outreach scripts, practice with Kyle/Ryan</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Cold call script + email sequence draft</w:t>
            </w:r>
          </w:p>
        </w:tc>
      </w:tr>
      <w:tr>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4</w:t>
            </w:r>
          </w:p>
        </w:tc>
        <w:tc>
          <w:tcPr>
            <w:tcW w:type="dxa" w:w="44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Start live prospecting, first solo discovery calls</w:t>
            </w:r>
          </w:p>
        </w:tc>
        <w:tc>
          <w:tcPr>
            <w:tcW w:type="dxa" w:w="34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5+ live outbound conversations completed</w:t>
            </w:r>
          </w:p>
        </w:tc>
      </w:tr>
    </w:tbl>
    <w:p>
      <w:r>
        <w:br w:type="page"/>
      </w:r>
    </w:p>
    <w:p>
      <w:pPr>
        <w:pStyle w:val="Heading1"/>
        <w:spacing w:after="120" w:before="360"/>
      </w:pPr>
      <w:r>
        <w:rPr>
          <w:rFonts w:ascii="Arial" w:cs="Arial" w:eastAsia="Arial" w:hAnsi="Arial"/>
          <w:b/>
          <w:bCs/>
          <w:color w:val="1B4F72"/>
          <w:sz w:val="36"/>
          <w:szCs w:val="36"/>
        </w:rPr>
        <w:t xml:space="preserve">Days 31–60: Execute &amp; Build Pipeline</w:t>
      </w:r>
    </w:p>
    <w:p>
      <w:pPr>
        <w:spacing w:after="160"/>
      </w:pPr>
      <w:r>
        <w:rPr>
          <w:rFonts w:ascii="Arial" w:cs="Arial" w:eastAsia="Arial" w:hAnsi="Arial"/>
          <w:b/>
          <w:bCs/>
          <w:color w:val="E67E22"/>
          <w:sz w:val="22"/>
          <w:szCs w:val="22"/>
        </w:rPr>
        <w:t xml:space="preserve">THEME: </w:t>
      </w:r>
      <w:r>
        <w:rPr>
          <w:rFonts w:ascii="Arial" w:cs="Arial" w:eastAsia="Arial" w:hAnsi="Arial"/>
          <w:i/>
          <w:iCs/>
          <w:sz w:val="22"/>
          <w:szCs w:val="22"/>
        </w:rPr>
        <w:t xml:space="preserve">Run the plays. Generate qualified pipeline. Get reps in.</w:t>
      </w:r>
    </w:p>
    <w:p>
      <w:pPr>
        <w:pStyle w:val="Heading2"/>
        <w:spacing w:after="120" w:before="240"/>
      </w:pPr>
      <w:r>
        <w:rPr>
          <w:rFonts w:ascii="Arial" w:cs="Arial" w:eastAsia="Arial" w:hAnsi="Arial"/>
          <w:b/>
          <w:bCs/>
          <w:color w:val="1B4F72"/>
          <w:sz w:val="28"/>
          <w:szCs w:val="28"/>
        </w:rPr>
        <w:t xml:space="preserve">Pipeline Generation</w:t>
      </w:r>
    </w:p>
    <w:p>
      <w:pPr>
        <w:pStyle w:val="ListParagraph"/>
        <w:numPr>
          <w:ilvl w:val="0"/>
          <w:numId w:val="5"/>
        </w:numPr>
        <w:spacing w:after="60"/>
      </w:pPr>
      <w:r>
        <w:rPr>
          <w:rFonts w:ascii="Arial" w:cs="Arial" w:eastAsia="Arial" w:hAnsi="Arial"/>
          <w:sz w:val="22"/>
          <w:szCs w:val="22"/>
        </w:rPr>
        <w:t xml:space="preserve">Target: Build 3–5x your quarterly quota in qualified pipeline by day 60</w:t>
      </w:r>
    </w:p>
    <w:p>
      <w:pPr>
        <w:pStyle w:val="ListParagraph"/>
        <w:numPr>
          <w:ilvl w:val="0"/>
          <w:numId w:val="5"/>
        </w:numPr>
        <w:spacing w:after="60"/>
      </w:pPr>
      <w:r>
        <w:rPr>
          <w:rFonts w:ascii="Arial" w:cs="Arial" w:eastAsia="Arial" w:hAnsi="Arial"/>
          <w:sz w:val="22"/>
          <w:szCs w:val="22"/>
        </w:rPr>
        <w:t xml:space="preserve">Prioritize your 200-account named list: identify top 20 strategic accounts by FTE count, tech stack fit, and trigger events</w:t>
      </w:r>
    </w:p>
    <w:p>
      <w:pPr>
        <w:pStyle w:val="ListParagraph"/>
        <w:numPr>
          <w:ilvl w:val="0"/>
          <w:numId w:val="5"/>
        </w:numPr>
        <w:spacing w:after="60"/>
      </w:pPr>
      <w:r>
        <w:rPr>
          <w:rFonts w:ascii="Arial" w:cs="Arial" w:eastAsia="Arial" w:hAnsi="Arial"/>
          <w:sz w:val="22"/>
          <w:szCs w:val="22"/>
        </w:rPr>
        <w:t xml:space="preserve">Coordinate daily with Kyle and Ryan on outbound sequencing—review open rates, reply rates, and iterate weekly</w:t>
      </w:r>
    </w:p>
    <w:p>
      <w:pPr>
        <w:pStyle w:val="ListParagraph"/>
        <w:numPr>
          <w:ilvl w:val="0"/>
          <w:numId w:val="5"/>
        </w:numPr>
        <w:spacing w:after="60"/>
      </w:pPr>
      <w:r>
        <w:rPr>
          <w:rFonts w:ascii="Arial" w:cs="Arial" w:eastAsia="Arial" w:hAnsi="Arial"/>
          <w:sz w:val="22"/>
          <w:szCs w:val="22"/>
        </w:rPr>
        <w:t xml:space="preserve">Use the “seven degrees of separation” approach from 30MPC: for every target account, find one common thread (shared investor, industry peer, geographic proximity) to use in your opener</w:t>
      </w:r>
    </w:p>
    <w:p>
      <w:pPr>
        <w:pStyle w:val="ListParagraph"/>
        <w:numPr>
          <w:ilvl w:val="0"/>
          <w:numId w:val="5"/>
        </w:numPr>
        <w:spacing w:after="60"/>
      </w:pPr>
      <w:r>
        <w:rPr>
          <w:rFonts w:ascii="Arial" w:cs="Arial" w:eastAsia="Arial" w:hAnsi="Arial"/>
          <w:sz w:val="22"/>
          <w:szCs w:val="22"/>
        </w:rPr>
        <w:t xml:space="preserve">Start building your social proof library: screenshot customer wins from Slack, collect testimonial snippets, save positive Sybill call moments</w:t>
      </w:r>
    </w:p>
    <w:p>
      <w:pPr>
        <w:pStyle w:val="Heading2"/>
        <w:spacing w:after="120" w:before="240"/>
      </w:pPr>
      <w:r>
        <w:rPr>
          <w:rFonts w:ascii="Arial" w:cs="Arial" w:eastAsia="Arial" w:hAnsi="Arial"/>
          <w:b/>
          <w:bCs/>
          <w:color w:val="1B4F72"/>
          <w:sz w:val="28"/>
          <w:szCs w:val="28"/>
        </w:rPr>
        <w:t xml:space="preserve">Discovery Mastery (Campfire + 30MPC)</w:t>
      </w:r>
    </w:p>
    <w:p>
      <w:pPr>
        <w:spacing w:after="120"/>
      </w:pPr>
      <w:r>
        <w:rPr>
          <w:rFonts w:ascii="Arial" w:cs="Arial" w:eastAsia="Arial" w:hAnsi="Arial"/>
          <w:sz w:val="22"/>
          <w:szCs w:val="22"/>
        </w:rPr>
        <w:t xml:space="preserve">Run every discovery call using Campfire’s talk track with 30MPC’s closing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Discovery Area</w:t>
            </w:r>
          </w:p>
        </w:tc>
        <w:tc>
          <w:tcPr>
            <w:tcW w:type="dxa" w:w="6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Key Questions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Role &amp; Context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What’s your role? How long have you been there?</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40"/>
            </w:pPr>
            <w:r>
              <w:rPr>
                <w:rFonts w:ascii="Arial" w:cs="Arial" w:eastAsia="Arial" w:hAnsi="Arial"/>
                <w:b/>
                <w:bCs/>
                <w:sz w:val="20"/>
                <w:szCs w:val="20"/>
              </w:rPr>
              <w:t xml:space="preserve">Why Campfire?</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What prompted you to evaluate new ERP solutions right now?</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Competitive Landscape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What other ERPs are you evaluating alongside us?</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40"/>
            </w:pPr>
            <w:r>
              <w:rPr>
                <w:rFonts w:ascii="Arial" w:cs="Arial" w:eastAsia="Arial" w:hAnsi="Arial"/>
                <w:b/>
                <w:bCs/>
                <w:sz w:val="20"/>
                <w:szCs w:val="20"/>
              </w:rPr>
              <w:t xml:space="preserve">Tech Stack &amp; Complexity</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Multi-entity? Multi-currency? What’s your current stack?</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Timeline &amp; Urgency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When are you looking to implement? What’s driving that timeline?</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40"/>
            </w:pPr>
            <w:r>
              <w:rPr>
                <w:rFonts w:ascii="Arial" w:cs="Arial" w:eastAsia="Arial" w:hAnsi="Arial"/>
                <w:b/>
                <w:bCs/>
                <w:sz w:val="20"/>
                <w:szCs w:val="20"/>
              </w:rPr>
              <w:t xml:space="preserve">Strategic Initiatives</w:t>
            </w:r>
          </w:p>
        </w:tc>
        <w:tc>
          <w:tcPr>
            <w:tcW w:type="dxa" w:w="6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Any AI initiative? Plans to go public? Major growth milestones?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Pain Diagnosis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What’s the most time-consuming task for your team today? How are you managing close? (GSheets, FloQast, etc.)</w:t>
            </w:r>
          </w:p>
        </w:tc>
      </w:tr>
    </w:tbl>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End every discovery call with three validation questions (30MPC): </w:t>
      </w:r>
      <w:r>
        <w:rPr>
          <w:rFonts w:ascii="Arial" w:cs="Arial" w:eastAsia="Arial" w:hAnsi="Arial"/>
          <w:sz w:val="22"/>
          <w:szCs w:val="22"/>
        </w:rPr>
        <w:t xml:space="preserve">“Do you want to buy?” (validate the deal is real), “When do you want to buy?” (validate timeline), and “How do you buy?” (validate you’ll get in front of power).</w:t>
      </w:r>
    </w:p>
    <w:p>
      <w:pPr>
        <w:spacing w:after="120"/>
      </w:pPr>
      <w:r>
        <w:rPr>
          <w:rFonts w:ascii="Arial" w:cs="Arial" w:eastAsia="Arial" w:hAnsi="Arial"/>
          <w:b/>
          <w:bCs/>
          <w:sz w:val="22"/>
          <w:szCs w:val="22"/>
        </w:rPr>
        <w:t xml:space="preserve">Critical rule: </w:t>
      </w:r>
      <w:r>
        <w:rPr>
          <w:rFonts w:ascii="Arial" w:cs="Arial" w:eastAsia="Arial" w:hAnsi="Arial"/>
          <w:sz w:val="22"/>
          <w:szCs w:val="22"/>
        </w:rPr>
        <w:t xml:space="preserve">Never leave the discovery call without booking the 1-hour demo. Even if the time will likely move, get it on the calendar.</w:t>
      </w:r>
    </w:p>
    <w:p>
      <w:pPr>
        <w:pStyle w:val="Heading2"/>
        <w:spacing w:after="120" w:before="240"/>
      </w:pPr>
      <w:r>
        <w:rPr>
          <w:rFonts w:ascii="Arial" w:cs="Arial" w:eastAsia="Arial" w:hAnsi="Arial"/>
          <w:b/>
          <w:bCs/>
          <w:color w:val="1B4F72"/>
          <w:sz w:val="28"/>
          <w:szCs w:val="28"/>
        </w:rPr>
        <w:t xml:space="preserve">Demo Preparation Process</w:t>
      </w:r>
    </w:p>
    <w:p>
      <w:pPr>
        <w:pStyle w:val="ListParagraph"/>
        <w:numPr>
          <w:ilvl w:val="0"/>
          <w:numId w:val="6"/>
        </w:numPr>
        <w:spacing w:after="60"/>
      </w:pPr>
      <w:r>
        <w:rPr>
          <w:rFonts w:ascii="Arial" w:cs="Arial" w:eastAsia="Arial" w:hAnsi="Arial"/>
          <w:sz w:val="22"/>
          <w:szCs w:val="22"/>
        </w:rPr>
        <w:t xml:space="preserve">Share the Sybill recording of the discovery call with your assigned SC</w:t>
      </w:r>
    </w:p>
    <w:p>
      <w:pPr>
        <w:pStyle w:val="ListParagraph"/>
        <w:numPr>
          <w:ilvl w:val="0"/>
          <w:numId w:val="6"/>
        </w:numPr>
        <w:spacing w:after="60"/>
      </w:pPr>
      <w:r>
        <w:rPr>
          <w:rFonts w:ascii="Arial" w:cs="Arial" w:eastAsia="Arial" w:hAnsi="Arial"/>
          <w:sz w:val="22"/>
          <w:szCs w:val="22"/>
        </w:rPr>
        <w:t xml:space="preserve">Highlight specific features to demo based on what you uncovered in discovery</w:t>
      </w:r>
    </w:p>
    <w:p>
      <w:pPr>
        <w:pStyle w:val="ListParagraph"/>
        <w:numPr>
          <w:ilvl w:val="0"/>
          <w:numId w:val="6"/>
        </w:numPr>
        <w:spacing w:after="60"/>
      </w:pPr>
      <w:r>
        <w:rPr>
          <w:rFonts w:ascii="Arial" w:cs="Arial" w:eastAsia="Arial" w:hAnsi="Arial"/>
          <w:sz w:val="22"/>
          <w:szCs w:val="22"/>
        </w:rPr>
        <w:t xml:space="preserve">Connect live with your SC before the demo to provide additional context and answer questions</w:t>
      </w:r>
    </w:p>
    <w:p>
      <w:pPr>
        <w:pStyle w:val="ListParagraph"/>
        <w:numPr>
          <w:ilvl w:val="0"/>
          <w:numId w:val="6"/>
        </w:numPr>
        <w:spacing w:after="60"/>
      </w:pPr>
      <w:r>
        <w:rPr>
          <w:rFonts w:ascii="Arial" w:cs="Arial" w:eastAsia="Arial" w:hAnsi="Arial"/>
          <w:sz w:val="22"/>
          <w:szCs w:val="22"/>
        </w:rPr>
        <w:t xml:space="preserve">If the prospect asks for a second demo, be prepared—it often gets combined with pricing discussion</w:t>
      </w:r>
    </w:p>
    <w:p>
      <w:pPr>
        <w:pStyle w:val="Heading2"/>
        <w:spacing w:after="120" w:before="240"/>
      </w:pPr>
      <w:r>
        <w:rPr>
          <w:rFonts w:ascii="Arial" w:cs="Arial" w:eastAsia="Arial" w:hAnsi="Arial"/>
          <w:b/>
          <w:bCs/>
          <w:color w:val="1B4F72"/>
          <w:sz w:val="28"/>
          <w:szCs w:val="28"/>
        </w:rPr>
        <w:t xml:space="preserve">Follow-Up Framework</w:t>
      </w:r>
    </w:p>
    <w:p>
      <w:pPr>
        <w:spacing w:after="120"/>
      </w:pPr>
      <w:r>
        <w:rPr>
          <w:rFonts w:ascii="Arial" w:cs="Arial" w:eastAsia="Arial" w:hAnsi="Arial"/>
          <w:sz w:val="22"/>
          <w:szCs w:val="22"/>
        </w:rPr>
        <w:t xml:space="preserve">After every discovery call, send a follow-up email within 30 minutes containing: the slide deck, list of integrations, SOC 1 &amp; 2 reports, and API documentation. Reference specific things discussed on the call—never send a generic template.</w:t>
      </w:r>
    </w:p>
    <w:p>
      <w:pPr>
        <w:pStyle w:val="Heading2"/>
        <w:spacing w:after="120" w:before="240"/>
      </w:pPr>
      <w:r>
        <w:rPr>
          <w:rFonts w:ascii="Arial" w:cs="Arial" w:eastAsia="Arial" w:hAnsi="Arial"/>
          <w:b/>
          <w:bCs/>
          <w:color w:val="1B4F72"/>
          <w:sz w:val="28"/>
          <w:szCs w:val="28"/>
        </w:rPr>
        <w:t xml:space="preserve">Day 31–60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780"/>
        <w:gridCol w:w="2780"/>
      </w:tblGrid>
      <w:tr>
        <w:tc>
          <w:tcPr>
            <w:tcW w:type="dxa" w:w="3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27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w:t>
            </w:r>
          </w:p>
        </w:tc>
        <w:tc>
          <w:tcPr>
            <w:tcW w:type="dxa" w:w="27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How to Track</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Qualified pipeline created</w:t>
            </w:r>
          </w:p>
        </w:tc>
        <w:tc>
          <w:tcPr>
            <w:tcW w:type="dxa" w:w="2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3–5x quarterly quota</w:t>
            </w:r>
          </w:p>
        </w:tc>
        <w:tc>
          <w:tcPr>
            <w:tcW w:type="dxa" w:w="2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HubSpot deal dashboard</w:t>
            </w:r>
          </w:p>
        </w:tc>
      </w:tr>
      <w:tr>
        <w:tc>
          <w:tcPr>
            <w:tcW w:type="dxa" w:w="3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Discovery calls run solo</w:t>
            </w:r>
          </w:p>
        </w:tc>
        <w:tc>
          <w:tcPr>
            <w:tcW w:type="dxa" w:w="27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15–20+</w:t>
            </w:r>
          </w:p>
        </w:tc>
        <w:tc>
          <w:tcPr>
            <w:tcW w:type="dxa" w:w="27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Sybill recordings</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Demos scheduled</w:t>
            </w:r>
          </w:p>
        </w:tc>
        <w:tc>
          <w:tcPr>
            <w:tcW w:type="dxa" w:w="2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8–12</w:t>
            </w:r>
          </w:p>
        </w:tc>
        <w:tc>
          <w:tcPr>
            <w:tcW w:type="dxa" w:w="2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Google Calendar + HubSpot</w:t>
            </w:r>
          </w:p>
        </w:tc>
      </w:tr>
      <w:tr>
        <w:tc>
          <w:tcPr>
            <w:tcW w:type="dxa" w:w="3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Outbound conversations (calls + emails)</w:t>
            </w:r>
          </w:p>
        </w:tc>
        <w:tc>
          <w:tcPr>
            <w:tcW w:type="dxa" w:w="27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50+ per week with SDR support</w:t>
            </w:r>
          </w:p>
        </w:tc>
        <w:tc>
          <w:tcPr>
            <w:tcW w:type="dxa" w:w="27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HubSpot activity log</w:t>
            </w:r>
          </w:p>
        </w:tc>
      </w:tr>
    </w:tbl>
    <w:p>
      <w:r>
        <w:br w:type="page"/>
      </w:r>
    </w:p>
    <w:p>
      <w:pPr>
        <w:pStyle w:val="Heading1"/>
        <w:spacing w:after="120" w:before="360"/>
      </w:pPr>
      <w:r>
        <w:rPr>
          <w:rFonts w:ascii="Arial" w:cs="Arial" w:eastAsia="Arial" w:hAnsi="Arial"/>
          <w:b/>
          <w:bCs/>
          <w:color w:val="1B4F72"/>
          <w:sz w:val="36"/>
          <w:szCs w:val="36"/>
        </w:rPr>
        <w:t xml:space="preserve">Days 61–90: Close Deals &amp; Optimize</w:t>
      </w:r>
    </w:p>
    <w:p>
      <w:pPr>
        <w:spacing w:after="160"/>
      </w:pPr>
      <w:r>
        <w:rPr>
          <w:rFonts w:ascii="Arial" w:cs="Arial" w:eastAsia="Arial" w:hAnsi="Arial"/>
          <w:b/>
          <w:bCs/>
          <w:color w:val="E67E22"/>
          <w:sz w:val="22"/>
          <w:szCs w:val="22"/>
        </w:rPr>
        <w:t xml:space="preserve">THEME: </w:t>
      </w:r>
      <w:r>
        <w:rPr>
          <w:rFonts w:ascii="Arial" w:cs="Arial" w:eastAsia="Arial" w:hAnsi="Arial"/>
          <w:i/>
          <w:iCs/>
          <w:sz w:val="22"/>
          <w:szCs w:val="22"/>
        </w:rPr>
        <w:t xml:space="preserve">Move deals through the funnel. Refine your process. Land your first wins.</w:t>
      </w:r>
    </w:p>
    <w:p>
      <w:pPr>
        <w:pStyle w:val="Heading2"/>
        <w:spacing w:after="120" w:before="240"/>
      </w:pPr>
      <w:r>
        <w:rPr>
          <w:rFonts w:ascii="Arial" w:cs="Arial" w:eastAsia="Arial" w:hAnsi="Arial"/>
          <w:b/>
          <w:bCs/>
          <w:color w:val="1B4F72"/>
          <w:sz w:val="28"/>
          <w:szCs w:val="28"/>
        </w:rPr>
        <w:t xml:space="preserve">Deal Progression &amp; Closing</w:t>
      </w:r>
    </w:p>
    <w:p>
      <w:pPr>
        <w:spacing w:after="120"/>
      </w:pPr>
      <w:r>
        <w:rPr>
          <w:rFonts w:ascii="Arial" w:cs="Arial" w:eastAsia="Arial" w:hAnsi="Arial"/>
          <w:b/>
          <w:bCs/>
          <w:sz w:val="22"/>
          <w:szCs w:val="22"/>
        </w:rPr>
        <w:t xml:space="preserve">Track the Five Buyer Agreements for every deal (30MPC): </w:t>
      </w:r>
      <w:r>
        <w:rPr>
          <w:rFonts w:ascii="Arial" w:cs="Arial" w:eastAsia="Arial" w:hAnsi="Arial"/>
          <w:sz w:val="22"/>
          <w:szCs w:val="22"/>
        </w:rPr>
        <w:t xml:space="preserve">Use a personal “deal board” spreadsheet to track where each prospect stands on Problem Agreement, Priority Agreement, Evaluation Agreement, Value Agreement, and Commercial Agreement. Don’t advance to the next stage until the current agreement is locked in.</w:t>
      </w:r>
    </w:p>
    <w:p>
      <w:pPr>
        <w:spacing w:after="120"/>
      </w:pPr>
      <w:r>
        <w:rPr>
          <w:rFonts w:ascii="Arial" w:cs="Arial" w:eastAsia="Arial" w:hAnsi="Arial"/>
          <w:sz w:val="22"/>
          <w:szCs w:val="22"/>
        </w:rPr>
        <w:t xml:space="preserve"/>
      </w:r>
    </w:p>
    <w:p>
      <w:pPr>
        <w:pStyle w:val="ListParagraph"/>
        <w:numPr>
          <w:ilvl w:val="0"/>
          <w:numId w:val="7"/>
        </w:numPr>
        <w:spacing w:after="60"/>
      </w:pPr>
      <w:r>
        <w:rPr>
          <w:rFonts w:ascii="Arial" w:cs="Arial" w:eastAsia="Arial" w:hAnsi="Arial"/>
          <w:b/>
          <w:bCs/>
          <w:sz w:val="22"/>
          <w:szCs w:val="22"/>
        </w:rPr>
        <w:t xml:space="preserve">Pricing/Solutioning: </w:t>
      </w:r>
      <w:r>
        <w:rPr>
          <w:rFonts w:ascii="Arial" w:cs="Arial" w:eastAsia="Arial" w:hAnsi="Arial"/>
          <w:sz w:val="22"/>
          <w:szCs w:val="22"/>
        </w:rPr>
        <w:t xml:space="preserve">Reference the pricing guide in Notion. Be prepared to discuss pricing during second demos when prospects combine the two.</w:t>
      </w:r>
    </w:p>
    <w:p>
      <w:pPr>
        <w:pStyle w:val="ListParagraph"/>
        <w:numPr>
          <w:ilvl w:val="0"/>
          <w:numId w:val="7"/>
        </w:numPr>
        <w:spacing w:after="60"/>
      </w:pPr>
      <w:r>
        <w:rPr>
          <w:rFonts w:ascii="Arial" w:cs="Arial" w:eastAsia="Arial" w:hAnsi="Arial"/>
          <w:b/>
          <w:bCs/>
          <w:sz w:val="22"/>
          <w:szCs w:val="22"/>
        </w:rPr>
        <w:t xml:space="preserve">Compliance/Legal: </w:t>
      </w:r>
      <w:r>
        <w:rPr>
          <w:rFonts w:ascii="Arial" w:cs="Arial" w:eastAsia="Arial" w:hAnsi="Arial"/>
          <w:sz w:val="22"/>
          <w:szCs w:val="22"/>
        </w:rPr>
        <w:t xml:space="preserve">Use the MSA guidelines to know which clauses are flexible and which are non-negotiable.</w:t>
      </w:r>
    </w:p>
    <w:p>
      <w:pPr>
        <w:pStyle w:val="ListParagraph"/>
        <w:numPr>
          <w:ilvl w:val="0"/>
          <w:numId w:val="7"/>
        </w:numPr>
        <w:spacing w:after="60"/>
      </w:pPr>
      <w:r>
        <w:rPr>
          <w:rFonts w:ascii="Arial" w:cs="Arial" w:eastAsia="Arial" w:hAnsi="Arial"/>
          <w:b/>
          <w:bCs/>
          <w:sz w:val="22"/>
          <w:szCs w:val="22"/>
        </w:rPr>
        <w:t xml:space="preserve">Give-gets in negotiations (30MPC): </w:t>
      </w:r>
      <w:r>
        <w:rPr>
          <w:rFonts w:ascii="Arial" w:cs="Arial" w:eastAsia="Arial" w:hAnsi="Arial"/>
          <w:sz w:val="22"/>
          <w:szCs w:val="22"/>
        </w:rPr>
        <w:t xml:space="preserve">When prospects ask for discounts or favorable terms, get something in return—logo rights on the website, 3 reference emails/calls, or a video case study.</w:t>
      </w:r>
    </w:p>
    <w:p>
      <w:pPr>
        <w:pStyle w:val="ListParagraph"/>
        <w:numPr>
          <w:ilvl w:val="0"/>
          <w:numId w:val="7"/>
        </w:numPr>
        <w:spacing w:after="60"/>
      </w:pPr>
      <w:r>
        <w:rPr>
          <w:rFonts w:ascii="Arial" w:cs="Arial" w:eastAsia="Arial" w:hAnsi="Arial"/>
          <w:b/>
          <w:bCs/>
          <w:sz w:val="22"/>
          <w:szCs w:val="22"/>
        </w:rPr>
        <w:t xml:space="preserve">Drive timeline with CS intros (30MPC): </w:t>
      </w:r>
      <w:r>
        <w:rPr>
          <w:rFonts w:ascii="Arial" w:cs="Arial" w:eastAsia="Arial" w:hAnsi="Arial"/>
          <w:sz w:val="22"/>
          <w:szCs w:val="22"/>
        </w:rPr>
        <w:t xml:space="preserve">For large deals, get your best implementation lead introduced before the contract is signed. Their availability becomes a natural compelling event.</w:t>
      </w:r>
    </w:p>
    <w:p>
      <w:pPr>
        <w:pStyle w:val="Heading2"/>
        <w:spacing w:after="120" w:before="240"/>
      </w:pPr>
      <w:r>
        <w:rPr>
          <w:rFonts w:ascii="Arial" w:cs="Arial" w:eastAsia="Arial" w:hAnsi="Arial"/>
          <w:b/>
          <w:bCs/>
          <w:color w:val="1B4F72"/>
          <w:sz w:val="28"/>
          <w:szCs w:val="28"/>
        </w:rPr>
        <w:t xml:space="preserve">Objection Handling Playbook</w:t>
      </w:r>
    </w:p>
    <w:p>
      <w:pPr>
        <w:spacing w:after="120"/>
      </w:pPr>
      <w:r>
        <w:rPr>
          <w:rFonts w:ascii="Arial" w:cs="Arial" w:eastAsia="Arial" w:hAnsi="Arial"/>
          <w:sz w:val="22"/>
          <w:szCs w:val="22"/>
        </w:rPr>
        <w:t xml:space="preserve">Use the “trap question” technique from 30MPC: when a prospect says they already have a solution, don’t argue. Instead, ask a question that exposes the one gap their current solution can’t fill. Then offer a low-pressure test drive.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Objection</w:t>
            </w:r>
          </w:p>
        </w:tc>
        <w:tc>
          <w:tcPr>
            <w:tcW w:type="dxa" w:w="6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30MPC Response Framework</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We already have an ERP</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"Totally makes sense. Just so I don’t waste your time—I imagine your monthly close is already under 5 days and you’re not dealing with manual reconciliation headaches?" (Poke the hole, then offer the test drive.)</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40"/>
            </w:pPr>
            <w:r>
              <w:rPr>
                <w:rFonts w:ascii="Arial" w:cs="Arial" w:eastAsia="Arial" w:hAnsi="Arial"/>
                <w:b/>
                <w:bCs/>
                <w:sz w:val="20"/>
                <w:szCs w:val="20"/>
              </w:rPr>
              <w:t xml:space="preserve">Not a priority right now</w:t>
            </w:r>
          </w:p>
        </w:tc>
        <w:tc>
          <w:tcPr>
            <w:tcW w:type="dxa" w:w="6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"Completely understand. Is it that the timing’s off, or that you looked at solutions like this before and it wasn’t worth the switch?" (Split the objection to find the real blocker.)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Send me info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"Happy to. I find that a 15-minute walkthrough is usually more useful than a deck—would you be open to a quick look next week so I can tailor it to your setup?" (Sell the test drive, not the car.)</w:t>
            </w:r>
          </w:p>
        </w:tc>
      </w:tr>
    </w:tbl>
    <w:p>
      <w:pPr>
        <w:pStyle w:val="Heading2"/>
        <w:spacing w:after="120" w:before="240"/>
      </w:pPr>
      <w:r>
        <w:rPr>
          <w:rFonts w:ascii="Arial" w:cs="Arial" w:eastAsia="Arial" w:hAnsi="Arial"/>
          <w:b/>
          <w:bCs/>
          <w:color w:val="1B4F72"/>
          <w:sz w:val="28"/>
          <w:szCs w:val="28"/>
        </w:rPr>
        <w:t xml:space="preserve">Close-Lost Nurture System (30MPC)</w:t>
      </w:r>
    </w:p>
    <w:p>
      <w:pPr>
        <w:spacing w:after="120"/>
      </w:pPr>
      <w:r>
        <w:rPr>
          <w:rFonts w:ascii="Arial" w:cs="Arial" w:eastAsia="Arial" w:hAnsi="Arial"/>
          <w:sz w:val="22"/>
          <w:szCs w:val="22"/>
        </w:rPr>
        <w:t xml:space="preserve">Don’t abandon lost deals. Set up a no-ask nurture cadence: send a relevant blog post, industry report, or case study every 2–3 weeks without any CTA to buy. When their situation changes, you’ll be the trusted partner they come back to—not the rep who ghosted after losing.</w:t>
      </w:r>
    </w:p>
    <w:p>
      <w:pPr>
        <w:pStyle w:val="Heading2"/>
        <w:spacing w:after="120" w:before="240"/>
      </w:pPr>
      <w:r>
        <w:rPr>
          <w:rFonts w:ascii="Arial" w:cs="Arial" w:eastAsia="Arial" w:hAnsi="Arial"/>
          <w:b/>
          <w:bCs/>
          <w:color w:val="1B4F72"/>
          <w:sz w:val="28"/>
          <w:szCs w:val="28"/>
        </w:rPr>
        <w:t xml:space="preserve">Day 61–90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580"/>
        <w:gridCol w:w="2580"/>
      </w:tblGrid>
      <w:tr>
        <w:tc>
          <w:tcPr>
            <w:tcW w:type="dxa" w:w="4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25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w:t>
            </w:r>
          </w:p>
        </w:tc>
        <w:tc>
          <w:tcPr>
            <w:tcW w:type="dxa" w:w="25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Deals in Pricing/Solutioning or later</w:t>
            </w:r>
          </w:p>
        </w:tc>
        <w:tc>
          <w:tcPr>
            <w:tcW w:type="dxa" w:w="2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3–5 active</w:t>
            </w:r>
          </w:p>
        </w:tc>
        <w:tc>
          <w:tcPr>
            <w:tcW w:type="dxa" w:w="2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HubSpot pipeline</w:t>
            </w:r>
          </w:p>
        </w:tc>
      </w:tr>
      <w:tr>
        <w:tc>
          <w:tcPr>
            <w:tcW w:type="dxa" w:w="4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First Closed Won deal</w:t>
            </w:r>
          </w:p>
        </w:tc>
        <w:tc>
          <w:tcPr>
            <w:tcW w:type="dxa" w:w="25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1+ (stretch goal)</w:t>
            </w:r>
          </w:p>
        </w:tc>
        <w:tc>
          <w:tcPr>
            <w:tcW w:type="dxa" w:w="25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HubSpot</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Pipeline coverage for Q2</w:t>
            </w:r>
          </w:p>
        </w:tc>
        <w:tc>
          <w:tcPr>
            <w:tcW w:type="dxa" w:w="2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4x+ quota</w:t>
            </w:r>
          </w:p>
        </w:tc>
        <w:tc>
          <w:tcPr>
            <w:tcW w:type="dxa" w:w="2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HubSpot reporting</w:t>
            </w:r>
          </w:p>
        </w:tc>
      </w:tr>
      <w:tr>
        <w:tc>
          <w:tcPr>
            <w:tcW w:type="dxa" w:w="4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Social proof assets collected</w:t>
            </w:r>
          </w:p>
        </w:tc>
        <w:tc>
          <w:tcPr>
            <w:tcW w:type="dxa" w:w="25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5+ screenshots/testimonials</w:t>
            </w:r>
          </w:p>
        </w:tc>
        <w:tc>
          <w:tcPr>
            <w:tcW w:type="dxa" w:w="25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spacing w:after="40"/>
            </w:pPr>
            <w:r>
              <w:rPr>
                <w:rFonts w:ascii="Arial" w:cs="Arial" w:eastAsia="Arial" w:hAnsi="Arial"/>
                <w:sz w:val="20"/>
                <w:szCs w:val="20"/>
              </w:rPr>
              <w:t xml:space="preserve">Personal Slack folder</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Close-lost nurture sequences active</w:t>
            </w:r>
          </w:p>
        </w:tc>
        <w:tc>
          <w:tcPr>
            <w:tcW w:type="dxa" w:w="2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All lost deals enrolled</w:t>
            </w:r>
          </w:p>
        </w:tc>
        <w:tc>
          <w:tcPr>
            <w:tcW w:type="dxa" w:w="2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HubSpot sequences</w:t>
            </w:r>
          </w:p>
        </w:tc>
      </w:tr>
    </w:tbl>
    <w:p>
      <w:r>
        <w:br w:type="page"/>
      </w:r>
    </w:p>
    <w:p>
      <w:pPr>
        <w:pStyle w:val="Heading1"/>
        <w:spacing w:after="120" w:before="360"/>
      </w:pPr>
      <w:r>
        <w:rPr>
          <w:rFonts w:ascii="Arial" w:cs="Arial" w:eastAsia="Arial" w:hAnsi="Arial"/>
          <w:b/>
          <w:bCs/>
          <w:color w:val="1B4F72"/>
          <w:sz w:val="36"/>
          <w:szCs w:val="36"/>
        </w:rPr>
        <w:t xml:space="preserve">Appendix: Key 30MPC Tactics Reference 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Tactic</w:t>
            </w:r>
          </w:p>
        </w:tc>
        <w:tc>
          <w:tcPr>
            <w:tcW w:type="dxa" w:w="67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Quick Reference</w:t>
            </w:r>
          </w:p>
        </w:tc>
      </w:tr>
      <w:tr>
        <w:tc>
          <w:tcPr>
            <w:tcW w:type="dxa" w:w="26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pPr>
              <w:spacing w:after="40"/>
            </w:pPr>
            <w:r>
              <w:rPr>
                <w:rFonts w:ascii="Arial" w:cs="Arial" w:eastAsia="Arial" w:hAnsi="Arial"/>
                <w:b/>
                <w:bCs/>
                <w:sz w:val="20"/>
                <w:szCs w:val="20"/>
              </w:rPr>
              <w:t xml:space="preserve">Problem Proposition</w:t>
            </w:r>
          </w:p>
        </w:tc>
        <w:tc>
          <w:tcPr>
            <w:tcW w:type="dxa" w:w="676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pPr>
              <w:spacing w:after="40"/>
            </w:pPr>
            <w:r>
              <w:rPr>
                <w:rFonts w:ascii="Arial" w:cs="Arial" w:eastAsia="Arial" w:hAnsi="Arial"/>
                <w:sz w:val="20"/>
                <w:szCs w:val="20"/>
              </w:rPr>
              <w:t xml:space="preserve">Lead with the persona + company type + when the problem happens + the feeling. One sentence on how you help. Never pitch features first.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Heard the Name Tossed Around</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Common thread first → Introduce yourself → "Have you heard our name tossed around?" If no: permission-based pitch. If yes: "What’d you hear?"</w:t>
            </w:r>
          </w:p>
        </w:tc>
      </w:tr>
      <w:tr>
        <w:tc>
          <w:tcPr>
            <w:tcW w:type="dxa" w:w="26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pPr>
              <w:spacing w:after="40"/>
            </w:pPr>
            <w:r>
              <w:rPr>
                <w:rFonts w:ascii="Arial" w:cs="Arial" w:eastAsia="Arial" w:hAnsi="Arial"/>
                <w:b/>
                <w:bCs/>
                <w:sz w:val="20"/>
                <w:szCs w:val="20"/>
              </w:rPr>
              <w:t xml:space="preserve">Tailored Permission Opener</w:t>
            </w:r>
          </w:p>
        </w:tc>
        <w:tc>
          <w:tcPr>
            <w:tcW w:type="dxa" w:w="676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pPr>
              <w:spacing w:after="40"/>
            </w:pPr>
            <w:r>
              <w:rPr>
                <w:rFonts w:ascii="Arial" w:cs="Arial" w:eastAsia="Arial" w:hAnsi="Arial"/>
                <w:sz w:val="20"/>
                <w:szCs w:val="20"/>
              </w:rPr>
              <w:t xml:space="preserve">Research context → Own the cold call → Ask for 30 seconds to share why you called. If rejected, split the objection: timing or relevance?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Three Discovery Close Questions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1) Do you want to buy? 2) When do you want to buy? 3) How do you buy? — Validates deal reality, timeline, and access to power.</w:t>
            </w:r>
          </w:p>
        </w:tc>
      </w:tr>
      <w:tr>
        <w:tc>
          <w:tcPr>
            <w:tcW w:type="dxa" w:w="26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pPr>
              <w:spacing w:after="40"/>
            </w:pPr>
            <w:r>
              <w:rPr>
                <w:rFonts w:ascii="Arial" w:cs="Arial" w:eastAsia="Arial" w:hAnsi="Arial"/>
                <w:b/>
                <w:bCs/>
                <w:sz w:val="20"/>
                <w:szCs w:val="20"/>
              </w:rPr>
              <w:t xml:space="preserve">Five Buyer Agreements</w:t>
            </w:r>
          </w:p>
        </w:tc>
        <w:tc>
          <w:tcPr>
            <w:tcW w:type="dxa" w:w="676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pPr>
              <w:spacing w:after="40"/>
            </w:pPr>
            <w:r>
              <w:rPr>
                <w:rFonts w:ascii="Arial" w:cs="Arial" w:eastAsia="Arial" w:hAnsi="Arial"/>
                <w:sz w:val="20"/>
                <w:szCs w:val="20"/>
              </w:rPr>
              <w:t xml:space="preserve">Problem → Priority → Evaluation Criteria → Value/Solution Fit → Commercial Terms. Don’t skip stages.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Sell the Test Drive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"You’re probably going to stick with your current solution, but are you open to taking a look just so you know what’s out there?"</w:t>
            </w:r>
          </w:p>
        </w:tc>
      </w:tr>
      <w:tr>
        <w:tc>
          <w:tcPr>
            <w:tcW w:type="dxa" w:w="26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pPr>
              <w:spacing w:after="40"/>
            </w:pPr>
            <w:r>
              <w:rPr>
                <w:rFonts w:ascii="Arial" w:cs="Arial" w:eastAsia="Arial" w:hAnsi="Arial"/>
                <w:b/>
                <w:bCs/>
                <w:sz w:val="20"/>
                <w:szCs w:val="20"/>
              </w:rPr>
              <w:t xml:space="preserve">Trap Questions</w:t>
            </w:r>
          </w:p>
        </w:tc>
        <w:tc>
          <w:tcPr>
            <w:tcW w:type="dxa" w:w="676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pPr>
              <w:spacing w:after="40"/>
            </w:pPr>
            <w:r>
              <w:rPr>
                <w:rFonts w:ascii="Arial" w:cs="Arial" w:eastAsia="Arial" w:hAnsi="Arial"/>
                <w:sz w:val="20"/>
                <w:szCs w:val="20"/>
              </w:rPr>
              <w:t xml:space="preserve">When they say "we have a solution," ask a question that exposes the gap their current tool can’t fill. Let them discover the pain.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Social Proof Screenshots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Raw, unpolished customer texts/DMs/Slack messages are more believable than marketing case studies. Build a folder.</w:t>
            </w:r>
          </w:p>
        </w:tc>
      </w:tr>
      <w:tr>
        <w:tc>
          <w:tcPr>
            <w:tcW w:type="dxa" w:w="26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pPr>
              <w:spacing w:after="40"/>
            </w:pPr>
            <w:r>
              <w:rPr>
                <w:rFonts w:ascii="Arial" w:cs="Arial" w:eastAsia="Arial" w:hAnsi="Arial"/>
                <w:b/>
                <w:bCs/>
                <w:sz w:val="20"/>
                <w:szCs w:val="20"/>
              </w:rPr>
              <w:t xml:space="preserve">Give-Gets</w:t>
            </w:r>
          </w:p>
        </w:tc>
        <w:tc>
          <w:tcPr>
            <w:tcW w:type="dxa" w:w="676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pPr>
              <w:spacing w:after="40"/>
            </w:pPr>
            <w:r>
              <w:rPr>
                <w:rFonts w:ascii="Arial" w:cs="Arial" w:eastAsia="Arial" w:hAnsi="Arial"/>
                <w:sz w:val="20"/>
                <w:szCs w:val="20"/>
              </w:rPr>
              <w:t xml:space="preserve">Never give discounts for free. Trade for: logo rights, reference calls, video testimonials, or case study participation.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Rule of Threes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Present pain points, features, and next steps in groups of three. Improves retention and makes your message stick.</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72" w:sz="4" w:space="4"/>
      </w:pBdr>
      <w:jc w:val="right"/>
    </w:pPr>
    <w:r>
      <w:rPr>
        <w:rFonts w:ascii="Arial" w:cs="Arial" w:eastAsia="Arial" w:hAnsi="Arial"/>
        <w:b/>
        <w:bCs/>
        <w:color w:val="E67E22"/>
        <w:sz w:val="18"/>
        <w:szCs w:val="18"/>
      </w:rPr>
      <w:t xml:space="preserve">CAMPFIRE  </w:t>
    </w:r>
    <w:r>
      <w:rPr>
        <w:rFonts w:ascii="Arial" w:cs="Arial" w:eastAsia="Arial" w:hAnsi="Arial"/>
        <w:color w:val="666666"/>
        <w:sz w:val="18"/>
        <w:szCs w:val="18"/>
      </w:rPr>
      <w:t xml:space="preserve">|  30/60/90 Day Onboarding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4F72"/>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1B4F72"/>
      <w:sz w:val="28"/>
      <w:szCs w:val="28"/>
    </w:rPr>
  </w:style>
  <w:style w:type="paragraph" w:styleId="Heading3">
    <w:name w:val="Heading 3"/>
    <w:basedOn w:val="Normal"/>
    <w:next w:val="Normal"/>
    <w:qFormat/>
    <w:pPr>
      <w:spacing w:after="120" w:before="180"/>
      <w:outlineLvl w:val="2"/>
    </w:pPr>
    <w:rPr>
      <w:rFonts w:ascii="Arial" w:cs="Arial" w:eastAsia="Arial" w:hAnsi="Arial"/>
      <w:b/>
      <w:bCs/>
      <w:color w:val="1B4F7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2026-03-02T21:30:08.985Z</dcterms:created>
  <dcterms:modified xsi:type="dcterms:W3CDTF">2026-03-02T21:30:08.985Z</dcterms:modified>
</cp:coreProperties>
</file>

<file path=docProps/custom.xml><?xml version="1.0" encoding="utf-8"?>
<Properties xmlns="http://schemas.openxmlformats.org/officeDocument/2006/custom-properties" xmlns:vt="http://schemas.openxmlformats.org/officeDocument/2006/docPropsVTypes"/>
</file>