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04A1" w:rsidRDefault="00741DEA">
      <w:r w:rsidRPr="004070FA">
        <w:rPr>
          <w:rFonts w:ascii="Century Gothic" w:hAnsi="Century Gothic"/>
          <w:noProof/>
          <w:lang w:eastAsia="en-GB"/>
        </w:rPr>
        <w:drawing>
          <wp:inline distT="0" distB="0" distL="0" distR="0" wp14:anchorId="1DF93362" wp14:editId="7C3507AC">
            <wp:extent cx="1581150" cy="76956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bright="27000" contrast="11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094" cy="776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F0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DEA"/>
    <w:rsid w:val="002F04A1"/>
    <w:rsid w:val="0074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94868E-97BF-4845-B74C-8DC26F0E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Ripley Associates</dc:creator>
  <cp:keywords/>
  <dc:description/>
  <cp:lastModifiedBy>Ripley Associates</cp:lastModifiedBy>
  <cp:revision>1</cp:revision>
  <dcterms:created xsi:type="dcterms:W3CDTF">2016-05-25T17:29:00Z</dcterms:created>
  <dcterms:modified xsi:type="dcterms:W3CDTF">2016-05-25T17:30:00Z</dcterms:modified>
</cp:coreProperties>
</file>