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Website Services Content Brief</w:t>
      </w:r>
    </w:p>
    <w:p>
      <w:pPr>
        <w:spacing w:after="200"/>
      </w:pPr>
      <w:r>
        <w:rPr>
          <w:i/>
          <w:iCs/>
          <w:sz w:val="24"/>
          <w:szCs w:val="24"/>
        </w:rPr>
        <w:t xml:space="preserve">Prepared for Code Implementation</w:t>
      </w:r>
    </w:p>
    <w:p>
      <w:pPr>
        <w:spacing w:after="400"/>
      </w:pPr>
      <w:r>
        <w:rPr>
          <w:sz w:val="22"/>
          <w:szCs w:val="22"/>
        </w:rPr>
        <w:t xml:space="preserve">Date: 19 January 2026</w:t>
      </w:r>
    </w:p>
    <w:p>
      <w:pPr>
        <w:pStyle w:val="Heading2"/>
      </w:pPr>
      <w:r>
        <w:rPr>
          <w:b/>
          <w:bCs/>
        </w:rPr>
        <w:t xml:space="preserve">Purpose</w:t>
      </w:r>
    </w:p>
    <w:p>
      <w:pPr>
        <w:spacing w:after="200"/>
      </w:pPr>
      <w:r>
        <w:rPr>
          <w:sz w:val="24"/>
          <w:szCs w:val="24"/>
        </w:rPr>
        <w:t xml:space="preserve">This brief provides the complete content for the SRA website services pages. The current implementation appears light on content. Please ensure each service page is built out fully with the descriptive text and comprehensive service listings provided below.</w:t>
      </w:r>
    </w:p>
    <w:p>
      <w:pPr>
        <w:pStyle w:val="Heading2"/>
      </w:pPr>
      <w:r>
        <w:rPr>
          <w:b/>
          <w:bCs/>
        </w:rPr>
        <w:t xml:space="preserve">Implementation Requirements</w:t>
      </w:r>
    </w:p>
    <w:p>
      <w:pPr>
        <w:spacing w:after="120"/>
      </w:pPr>
      <w:r>
        <w:rPr>
          <w:sz w:val="24"/>
          <w:szCs w:val="24"/>
        </w:rPr>
        <w:t xml:space="preserve">Each service page should follow a consistent structure:</w:t>
      </w:r>
    </w:p>
    <w:p>
      <w:pPr>
        <w:spacing w:after="80"/>
        <w:ind w:left="720"/>
      </w:pPr>
      <w:r>
        <w:rPr>
          <w:sz w:val="24"/>
          <w:szCs w:val="24"/>
        </w:rPr>
        <w:t xml:space="preserve">1. A prominent heading with the service title</w:t>
      </w:r>
    </w:p>
    <w:p>
      <w:pPr>
        <w:spacing w:after="80"/>
        <w:ind w:left="720"/>
      </w:pPr>
      <w:r>
        <w:rPr>
          <w:sz w:val="24"/>
          <w:szCs w:val="24"/>
        </w:rPr>
        <w:t xml:space="preserve">2. Two to three descriptive paragraphs explaining the service offering and SRA's approach</w:t>
      </w:r>
    </w:p>
    <w:p>
      <w:pPr>
        <w:spacing w:after="80"/>
        <w:ind w:left="720"/>
      </w:pPr>
      <w:r>
        <w:rPr>
          <w:sz w:val="24"/>
          <w:szCs w:val="24"/>
        </w:rPr>
        <w:t xml:space="preserve">3. A clearly defined "Our services cover:" section</w:t>
      </w:r>
    </w:p>
    <w:p>
      <w:pPr>
        <w:spacing w:after="80"/>
        <w:ind w:left="720"/>
      </w:pPr>
      <w:r>
        <w:rPr>
          <w:sz w:val="24"/>
          <w:szCs w:val="24"/>
        </w:rPr>
        <w:t xml:space="preserve">4. A comprehensive list of specific services (presented in two columns where appropriate)</w:t>
      </w:r>
    </w:p>
    <w:p>
      <w:pPr>
        <w:spacing w:after="80"/>
        <w:ind w:left="720"/>
      </w:pPr>
      <w:r>
        <w:rPr>
          <w:sz w:val="24"/>
          <w:szCs w:val="24"/>
        </w:rPr>
        <w:t xml:space="preserve">5. Consistent styling matching the existing site design (dark blue headings, clean typography)</w:t>
      </w:r>
    </w:p>
    <w:p>
      <w:pPr>
        <w:spacing w:after="200"/>
      </w:pPr>
    </w:p>
    <w:p>
      <w:r>
        <w:br w:type="page"/>
      </w:r>
    </w:p>
    <w:p>
      <w:pPr>
        <w:pStyle w:val="Heading2"/>
      </w:pPr>
      <w:r>
        <w:rPr>
          <w:b/>
          <w:bCs/>
        </w:rPr>
        <w:t xml:space="preserve">Service Page Content</w:t>
      </w:r>
    </w:p>
    <w:p>
      <w:pPr>
        <w:spacing w:after="300"/>
      </w:pPr>
      <w:r>
        <w:rPr>
          <w:sz w:val="24"/>
          <w:szCs w:val="24"/>
        </w:rPr>
        <w:t xml:space="preserve">The following sections detail the exact content required for each of the six service pages.</w:t>
      </w:r>
    </w:p>
    <w:p>
      <w:pPr>
        <w:pStyle w:val="Heading3"/>
        <w:spacing w:before="300"/>
      </w:pPr>
      <w:r>
        <w:rPr>
          <w:b/>
          <w:bCs/>
        </w:rPr>
        <w:t xml:space="preserve">1. Development Management</w:t>
      </w:r>
    </w:p>
    <w:p>
      <w:pPr>
        <w:spacing w:before="200" w:after="100"/>
      </w:pPr>
      <w:r>
        <w:rPr>
          <w:b/>
          <w:bCs/>
          <w:sz w:val="24"/>
          <w:szCs w:val="24"/>
        </w:rPr>
        <w:t xml:space="preserve">Descriptive Text:</w:t>
      </w:r>
    </w:p>
    <w:p>
      <w:pPr>
        <w:spacing w:after="160"/>
      </w:pPr>
      <w:r>
        <w:rPr>
          <w:sz w:val="24"/>
          <w:szCs w:val="24"/>
        </w:rPr>
        <w:t xml:space="preserve">As development management specialists, we lead teams and projects on behalf of developers, investors, landowners and occupiers, stage by stage from inception through construction completion.</w:t>
      </w:r>
    </w:p>
    <w:p>
      <w:pPr>
        <w:spacing w:after="160"/>
      </w:pPr>
      <w:r>
        <w:rPr>
          <w:sz w:val="24"/>
          <w:szCs w:val="24"/>
        </w:rPr>
        <w:t xml:space="preserve">SRA combine strategic thinking with the rigour and practicalities of project management, every step of the way. This assures our clients, partners and teams that the project is commercially achievable; objectives are ambitious but deliverable; third party engagement is well considered; and projects and value uplift are achieved with minimal stress all around.</w:t>
      </w:r>
    </w:p>
    <w:p>
      <w:pPr>
        <w:spacing w:after="160"/>
      </w:pPr>
      <w:r>
        <w:rPr>
          <w:sz w:val="24"/>
          <w:szCs w:val="24"/>
        </w:rPr>
        <w:t xml:space="preserve">We work closely with clients and partners to calibrate our role and services to meet their organisational and project requirements.</w:t>
      </w:r>
    </w:p>
    <w:p>
      <w:pPr>
        <w:spacing w:before="200" w:after="100"/>
      </w:pPr>
      <w:r>
        <w:rPr>
          <w:b/>
          <w:bCs/>
          <w:sz w:val="24"/>
          <w:szCs w:val="24"/>
        </w:rPr>
        <w:t xml:space="preserve">Our services cover:</w:t>
      </w:r>
    </w:p>
    <w:p>
      <w:pPr>
        <w:spacing w:after="60"/>
        <w:ind w:left="720"/>
      </w:pPr>
      <w:r>
        <w:rPr>
          <w:sz w:val="24"/>
          <w:szCs w:val="24"/>
        </w:rPr>
        <w:t xml:space="preserve">• Project Feasibility</w:t>
      </w:r>
    </w:p>
    <w:p>
      <w:pPr>
        <w:spacing w:after="60"/>
        <w:ind w:left="720"/>
      </w:pPr>
      <w:r>
        <w:rPr>
          <w:sz w:val="24"/>
          <w:szCs w:val="24"/>
        </w:rPr>
        <w:t xml:space="preserve">• Property acquisition support</w:t>
      </w:r>
    </w:p>
    <w:p>
      <w:pPr>
        <w:spacing w:after="60"/>
        <w:ind w:left="720"/>
      </w:pPr>
      <w:r>
        <w:rPr>
          <w:sz w:val="24"/>
          <w:szCs w:val="24"/>
        </w:rPr>
        <w:t xml:space="preserve">• Land and planning</w:t>
      </w:r>
    </w:p>
    <w:p>
      <w:pPr>
        <w:spacing w:after="60"/>
        <w:ind w:left="720"/>
      </w:pPr>
      <w:r>
        <w:rPr>
          <w:sz w:val="24"/>
          <w:szCs w:val="24"/>
        </w:rPr>
        <w:t xml:space="preserve">• Acquisition and risk management</w:t>
      </w:r>
    </w:p>
    <w:p>
      <w:pPr>
        <w:spacing w:after="60"/>
        <w:ind w:left="720"/>
      </w:pPr>
      <w:r>
        <w:rPr>
          <w:sz w:val="24"/>
          <w:szCs w:val="24"/>
        </w:rPr>
        <w:t xml:space="preserve">• Sustainability and energy efficiency</w:t>
      </w:r>
    </w:p>
    <w:p>
      <w:pPr>
        <w:spacing w:after="60"/>
        <w:ind w:left="720"/>
      </w:pPr>
      <w:r>
        <w:rPr>
          <w:sz w:val="24"/>
          <w:szCs w:val="24"/>
        </w:rPr>
        <w:t xml:space="preserve">• Funding solutions</w:t>
      </w:r>
    </w:p>
    <w:p>
      <w:pPr>
        <w:spacing w:after="60"/>
        <w:ind w:left="720"/>
      </w:pPr>
      <w:r>
        <w:rPr>
          <w:sz w:val="24"/>
          <w:szCs w:val="24"/>
        </w:rPr>
        <w:t xml:space="preserve">• Funding and diligence programming</w:t>
      </w:r>
    </w:p>
    <w:p>
      <w:pPr>
        <w:spacing w:after="60"/>
        <w:ind w:left="720"/>
      </w:pPr>
      <w:r>
        <w:rPr>
          <w:sz w:val="24"/>
          <w:szCs w:val="24"/>
        </w:rPr>
        <w:t xml:space="preserve">• Contract procurement</w:t>
      </w:r>
    </w:p>
    <w:p>
      <w:pPr>
        <w:spacing w:after="60"/>
        <w:ind w:left="720"/>
      </w:pPr>
      <w:r>
        <w:rPr>
          <w:sz w:val="24"/>
          <w:szCs w:val="24"/>
        </w:rPr>
        <w:t xml:space="preserve">• Sales, marketing and letting</w:t>
      </w:r>
    </w:p>
    <w:p>
      <w:pPr>
        <w:spacing w:after="60"/>
        <w:ind w:left="720"/>
      </w:pPr>
      <w:r>
        <w:rPr>
          <w:sz w:val="24"/>
          <w:szCs w:val="24"/>
        </w:rPr>
        <w:t xml:space="preserve">• Strategies</w:t>
      </w:r>
    </w:p>
    <w:p>
      <w:pPr>
        <w:spacing w:after="60"/>
        <w:ind w:left="720"/>
      </w:pPr>
      <w:r>
        <w:rPr>
          <w:sz w:val="24"/>
          <w:szCs w:val="24"/>
        </w:rPr>
        <w:t xml:space="preserve">• Agent selection and management</w:t>
      </w:r>
    </w:p>
    <w:p>
      <w:r>
        <w:br w:type="page"/>
      </w:r>
    </w:p>
    <w:p>
      <w:pPr>
        <w:pStyle w:val="Heading3"/>
        <w:spacing w:before="300"/>
      </w:pPr>
      <w:r>
        <w:rPr>
          <w:b/>
          <w:bCs/>
        </w:rPr>
        <w:t xml:space="preserve">2. Project Management</w:t>
      </w:r>
    </w:p>
    <w:p>
      <w:pPr>
        <w:spacing w:before="200" w:after="100"/>
      </w:pPr>
      <w:r>
        <w:rPr>
          <w:b/>
          <w:bCs/>
          <w:sz w:val="24"/>
          <w:szCs w:val="24"/>
        </w:rPr>
        <w:t xml:space="preserve">Descriptive Text:</w:t>
      </w:r>
    </w:p>
    <w:p>
      <w:pPr>
        <w:spacing w:after="160"/>
      </w:pPr>
      <w:r>
        <w:rPr>
          <w:sz w:val="24"/>
          <w:szCs w:val="24"/>
        </w:rPr>
        <w:t xml:space="preserve">SRA provide a trusted and highly skilled project management service, tailoring this to meet each client exact needs. The key to effective project management is providing the information and advice the client needs to have control of their project throughout.</w:t>
      </w:r>
    </w:p>
    <w:p>
      <w:pPr>
        <w:spacing w:after="160"/>
      </w:pPr>
      <w:r>
        <w:rPr>
          <w:sz w:val="24"/>
          <w:szCs w:val="24"/>
        </w:rPr>
        <w:t xml:space="preserve">SRA's project managers aim to quickly assimilate with a client's culture, to develop a clear understanding of client's values so this can be applied in the management of the project in line with the strategy of the scheme.</w:t>
      </w:r>
    </w:p>
    <w:p>
      <w:pPr>
        <w:spacing w:after="160"/>
      </w:pPr>
      <w:r>
        <w:rPr>
          <w:sz w:val="24"/>
          <w:szCs w:val="24"/>
        </w:rPr>
        <w:t xml:space="preserve">Our multi-disciplined teams have the skills and knowledge to successfully deliver projects from inception to completion – from multi million pound developments to smaller projects and schemes.</w:t>
      </w:r>
    </w:p>
    <w:p>
      <w:pPr>
        <w:spacing w:before="200" w:after="100"/>
      </w:pPr>
      <w:r>
        <w:rPr>
          <w:b/>
          <w:bCs/>
          <w:sz w:val="24"/>
          <w:szCs w:val="24"/>
        </w:rPr>
        <w:t xml:space="preserve">Our services cover:</w:t>
      </w:r>
    </w:p>
    <w:p>
      <w:pPr>
        <w:spacing w:after="60"/>
        <w:ind w:left="720"/>
      </w:pPr>
      <w:r>
        <w:rPr>
          <w:sz w:val="24"/>
          <w:szCs w:val="24"/>
        </w:rPr>
        <w:t xml:space="preserve">• Development of client brief</w:t>
      </w:r>
    </w:p>
    <w:p>
      <w:pPr>
        <w:spacing w:after="60"/>
        <w:ind w:left="720"/>
      </w:pPr>
      <w:r>
        <w:rPr>
          <w:sz w:val="24"/>
          <w:szCs w:val="24"/>
        </w:rPr>
        <w:t xml:space="preserve">• Risk Management</w:t>
      </w:r>
    </w:p>
    <w:p>
      <w:pPr>
        <w:spacing w:after="60"/>
        <w:ind w:left="720"/>
      </w:pPr>
      <w:r>
        <w:rPr>
          <w:sz w:val="24"/>
          <w:szCs w:val="24"/>
        </w:rPr>
        <w:t xml:space="preserve">• Management of Design Team appointments</w:t>
      </w:r>
    </w:p>
    <w:p>
      <w:pPr>
        <w:spacing w:after="60"/>
        <w:ind w:left="720"/>
      </w:pPr>
      <w:r>
        <w:rPr>
          <w:sz w:val="24"/>
          <w:szCs w:val="24"/>
        </w:rPr>
        <w:t xml:space="preserve">• Monitoring design and construction phases</w:t>
      </w:r>
    </w:p>
    <w:p>
      <w:pPr>
        <w:spacing w:after="60"/>
        <w:ind w:left="720"/>
      </w:pPr>
      <w:r>
        <w:rPr>
          <w:sz w:val="24"/>
          <w:szCs w:val="24"/>
        </w:rPr>
        <w:t xml:space="preserve">• Programme Management</w:t>
      </w:r>
    </w:p>
    <w:p>
      <w:pPr>
        <w:spacing w:after="60"/>
        <w:ind w:left="720"/>
      </w:pPr>
      <w:r>
        <w:rPr>
          <w:sz w:val="24"/>
          <w:szCs w:val="24"/>
        </w:rPr>
        <w:t xml:space="preserve">• Provision of Procurement Advice</w:t>
      </w:r>
    </w:p>
    <w:p>
      <w:pPr>
        <w:spacing w:after="60"/>
        <w:ind w:left="720"/>
      </w:pPr>
      <w:r>
        <w:rPr>
          <w:sz w:val="24"/>
          <w:szCs w:val="24"/>
        </w:rPr>
        <w:t xml:space="preserve">• Liaison with interested third parties</w:t>
      </w:r>
    </w:p>
    <w:p>
      <w:r>
        <w:br w:type="page"/>
      </w:r>
    </w:p>
    <w:p>
      <w:pPr>
        <w:pStyle w:val="Heading3"/>
        <w:spacing w:before="300"/>
      </w:pPr>
      <w:r>
        <w:rPr>
          <w:b/>
          <w:bCs/>
        </w:rPr>
        <w:t xml:space="preserve">3. Quantity Surveying</w:t>
      </w:r>
    </w:p>
    <w:p>
      <w:pPr>
        <w:spacing w:before="200" w:after="100"/>
      </w:pPr>
      <w:r>
        <w:rPr>
          <w:b/>
          <w:bCs/>
          <w:sz w:val="24"/>
          <w:szCs w:val="24"/>
        </w:rPr>
        <w:t xml:space="preserve">Descriptive Text:</w:t>
      </w:r>
    </w:p>
    <w:p>
      <w:pPr>
        <w:spacing w:after="160"/>
      </w:pPr>
      <w:r>
        <w:rPr>
          <w:sz w:val="24"/>
          <w:szCs w:val="24"/>
        </w:rPr>
        <w:t xml:space="preserve">With a deep-rooted understanding of our clients' business requirements coupled with our extensive knowledge of the residential market, SRA's experienced cost management team provides robust leadership on every project.</w:t>
      </w:r>
    </w:p>
    <w:p>
      <w:pPr>
        <w:spacing w:after="160"/>
      </w:pPr>
      <w:r>
        <w:rPr>
          <w:sz w:val="24"/>
          <w:szCs w:val="24"/>
        </w:rPr>
        <w:t xml:space="preserve">We offer expert advice during the feasibility and planning stages of a project, taking into account all aspects of the building works ensuring the strategy is delivered all the way through to project completion.</w:t>
      </w:r>
    </w:p>
    <w:p>
      <w:pPr>
        <w:spacing w:after="160"/>
      </w:pPr>
      <w:r>
        <w:rPr>
          <w:sz w:val="24"/>
          <w:szCs w:val="24"/>
        </w:rPr>
        <w:t xml:space="preserve">Our experience and knowledge provides invaluable advice towards procurement, and the delivery of contracts where risk requires to be appropriately and commercially placed in all contract documentation to reflect the client's objective.</w:t>
      </w:r>
    </w:p>
    <w:p>
      <w:pPr>
        <w:spacing w:before="200" w:after="100"/>
      </w:pPr>
      <w:r>
        <w:rPr>
          <w:b/>
          <w:bCs/>
          <w:sz w:val="24"/>
          <w:szCs w:val="24"/>
        </w:rPr>
        <w:t xml:space="preserve">Our services cover:</w:t>
      </w:r>
    </w:p>
    <w:p>
      <w:pPr>
        <w:spacing w:after="60"/>
        <w:ind w:left="720"/>
      </w:pPr>
      <w:r>
        <w:rPr>
          <w:sz w:val="24"/>
          <w:szCs w:val="24"/>
        </w:rPr>
        <w:t xml:space="preserve">• Feasibility Studies</w:t>
      </w:r>
    </w:p>
    <w:p>
      <w:pPr>
        <w:spacing w:after="60"/>
        <w:ind w:left="720"/>
      </w:pPr>
      <w:r>
        <w:rPr>
          <w:sz w:val="24"/>
          <w:szCs w:val="24"/>
        </w:rPr>
        <w:t xml:space="preserve">• Cost Planning</w:t>
      </w:r>
    </w:p>
    <w:p>
      <w:pPr>
        <w:spacing w:after="60"/>
        <w:ind w:left="720"/>
      </w:pPr>
      <w:r>
        <w:rPr>
          <w:sz w:val="24"/>
          <w:szCs w:val="24"/>
        </w:rPr>
        <w:t xml:space="preserve">• Preparation of tender documents including Bill of Quantities</w:t>
      </w:r>
    </w:p>
    <w:p>
      <w:pPr>
        <w:spacing w:after="60"/>
        <w:ind w:left="720"/>
      </w:pPr>
      <w:r>
        <w:rPr>
          <w:sz w:val="24"/>
          <w:szCs w:val="24"/>
        </w:rPr>
        <w:t xml:space="preserve">• Preparation of Contract Documents</w:t>
      </w:r>
    </w:p>
    <w:p>
      <w:pPr>
        <w:spacing w:after="60"/>
        <w:ind w:left="720"/>
      </w:pPr>
      <w:r>
        <w:rPr>
          <w:sz w:val="24"/>
          <w:szCs w:val="24"/>
        </w:rPr>
        <w:t xml:space="preserve">• Life Cycle Costing</w:t>
      </w:r>
    </w:p>
    <w:p>
      <w:pPr>
        <w:spacing w:after="60"/>
        <w:ind w:left="720"/>
      </w:pPr>
      <w:r>
        <w:rPr>
          <w:sz w:val="24"/>
          <w:szCs w:val="24"/>
        </w:rPr>
        <w:t xml:space="preserve">• Bank Monitoring and Reporting</w:t>
      </w:r>
    </w:p>
    <w:p>
      <w:pPr>
        <w:spacing w:after="60"/>
        <w:ind w:left="720"/>
      </w:pPr>
      <w:r>
        <w:rPr>
          <w:sz w:val="24"/>
          <w:szCs w:val="24"/>
        </w:rPr>
        <w:t xml:space="preserve">• Insurance Valuations</w:t>
      </w:r>
    </w:p>
    <w:p>
      <w:pPr>
        <w:spacing w:after="60"/>
        <w:ind w:left="720"/>
      </w:pPr>
      <w:r>
        <w:rPr>
          <w:sz w:val="24"/>
          <w:szCs w:val="24"/>
        </w:rPr>
        <w:t xml:space="preserve">• Commercial Management through the whole of the Construction Process</w:t>
      </w:r>
    </w:p>
    <w:p>
      <w:pPr>
        <w:spacing w:after="60"/>
        <w:ind w:left="720"/>
      </w:pPr>
      <w:r>
        <w:rPr>
          <w:sz w:val="24"/>
          <w:szCs w:val="24"/>
        </w:rPr>
        <w:t xml:space="preserve">• Negotiation of Final Accounts</w:t>
      </w:r>
    </w:p>
    <w:p>
      <w:r>
        <w:br w:type="page"/>
      </w:r>
    </w:p>
    <w:p>
      <w:pPr>
        <w:pStyle w:val="Heading3"/>
        <w:spacing w:before="300"/>
      </w:pPr>
      <w:r>
        <w:rPr>
          <w:b/>
          <w:bCs/>
        </w:rPr>
        <w:t xml:space="preserve">4. Employer's Agent</w:t>
      </w:r>
    </w:p>
    <w:p>
      <w:pPr>
        <w:spacing w:before="200" w:after="100"/>
      </w:pPr>
      <w:r>
        <w:rPr>
          <w:b/>
          <w:bCs/>
          <w:sz w:val="24"/>
          <w:szCs w:val="24"/>
        </w:rPr>
        <w:t xml:space="preserve">Descriptive Text:</w:t>
      </w:r>
    </w:p>
    <w:p>
      <w:pPr>
        <w:spacing w:after="160"/>
      </w:pPr>
      <w:r>
        <w:rPr>
          <w:sz w:val="24"/>
          <w:szCs w:val="24"/>
        </w:rPr>
        <w:t xml:space="preserve">The success of every project demands effective management, including the assessment and management of risk. Through our leadership, our clients are empowered to make informed decisions knowing we are providing the skills and resources to manage their projects from inception to completion.</w:t>
      </w:r>
    </w:p>
    <w:p>
      <w:pPr>
        <w:spacing w:after="160"/>
      </w:pPr>
      <w:r>
        <w:rPr>
          <w:sz w:val="24"/>
          <w:szCs w:val="24"/>
        </w:rPr>
        <w:t xml:space="preserve">As skilled Employer's Agents, our teams are highly proficient in managing many forms of residential building contracts. Our teams' ability in monitoring costs, programmes and quality on site, sets us apart from others. Not just willing to provide the standard service offered by many Employer's Agents, we work closely with our clients at all stages, from feasibility through to completion.</w:t>
      </w:r>
    </w:p>
    <w:p>
      <w:pPr>
        <w:spacing w:after="160"/>
      </w:pPr>
      <w:r>
        <w:rPr>
          <w:sz w:val="24"/>
          <w:szCs w:val="24"/>
        </w:rPr>
        <w:t xml:space="preserve">Our focus is on providing expert impartial advice and contract knowledge, proactively mitigating risk by managing the contractual process, ensuring all parties are aware of contractual requirements and guiding contracts to successful conclusions.</w:t>
      </w:r>
    </w:p>
    <w:p>
      <w:pPr>
        <w:spacing w:before="200" w:after="100"/>
      </w:pPr>
      <w:r>
        <w:rPr>
          <w:b/>
          <w:bCs/>
          <w:sz w:val="24"/>
          <w:szCs w:val="24"/>
        </w:rPr>
        <w:t xml:space="preserve">Our services cover:</w:t>
      </w:r>
    </w:p>
    <w:p>
      <w:pPr>
        <w:spacing w:after="60"/>
        <w:ind w:left="720"/>
      </w:pPr>
      <w:r>
        <w:rPr>
          <w:sz w:val="24"/>
          <w:szCs w:val="24"/>
        </w:rPr>
        <w:t xml:space="preserve">• Obtain brief from Employer and develop employer's requirements in conjunction with team members</w:t>
      </w:r>
    </w:p>
    <w:p>
      <w:pPr>
        <w:spacing w:after="60"/>
        <w:ind w:left="720"/>
      </w:pPr>
      <w:r>
        <w:rPr>
          <w:sz w:val="24"/>
          <w:szCs w:val="24"/>
        </w:rPr>
        <w:t xml:space="preserve">• Chair design team meetings</w:t>
      </w:r>
    </w:p>
    <w:p>
      <w:pPr>
        <w:spacing w:after="60"/>
        <w:ind w:left="720"/>
      </w:pPr>
      <w:r>
        <w:rPr>
          <w:sz w:val="24"/>
          <w:szCs w:val="24"/>
        </w:rPr>
        <w:t xml:space="preserve">• Provide procurement advice</w:t>
      </w:r>
    </w:p>
    <w:p>
      <w:pPr>
        <w:spacing w:after="60"/>
        <w:ind w:left="720"/>
      </w:pPr>
      <w:r>
        <w:rPr>
          <w:sz w:val="24"/>
          <w:szCs w:val="24"/>
        </w:rPr>
        <w:t xml:space="preserve">• Preparation of Employer's requirements</w:t>
      </w:r>
    </w:p>
    <w:p>
      <w:pPr>
        <w:spacing w:after="60"/>
        <w:ind w:left="720"/>
      </w:pPr>
      <w:r>
        <w:rPr>
          <w:sz w:val="24"/>
          <w:szCs w:val="24"/>
        </w:rPr>
        <w:t xml:space="preserve">• Advise on tendering procedures and selection of the main contractor</w:t>
      </w:r>
    </w:p>
    <w:p>
      <w:pPr>
        <w:spacing w:after="60"/>
        <w:ind w:left="720"/>
      </w:pPr>
      <w:r>
        <w:rPr>
          <w:sz w:val="24"/>
          <w:szCs w:val="24"/>
        </w:rPr>
        <w:t xml:space="preserve">• Co-ordinate and manage the on-site construction process</w:t>
      </w:r>
    </w:p>
    <w:p>
      <w:pPr>
        <w:spacing w:after="60"/>
        <w:ind w:left="720"/>
      </w:pPr>
      <w:r>
        <w:rPr>
          <w:sz w:val="24"/>
          <w:szCs w:val="24"/>
        </w:rPr>
        <w:t xml:space="preserve">• Administer the D&amp;B contract</w:t>
      </w:r>
    </w:p>
    <w:p>
      <w:r>
        <w:br w:type="page"/>
      </w:r>
    </w:p>
    <w:p>
      <w:pPr>
        <w:pStyle w:val="Heading3"/>
        <w:spacing w:before="300"/>
      </w:pPr>
      <w:r>
        <w:rPr>
          <w:b/>
          <w:bCs/>
        </w:rPr>
        <w:t xml:space="preserve">5. Health &amp; Safety</w:t>
      </w:r>
    </w:p>
    <w:p>
      <w:pPr>
        <w:spacing w:before="200" w:after="100"/>
      </w:pPr>
      <w:r>
        <w:rPr>
          <w:b/>
          <w:bCs/>
          <w:sz w:val="24"/>
          <w:szCs w:val="24"/>
        </w:rPr>
        <w:t xml:space="preserve">Descriptive Text:</w:t>
      </w:r>
    </w:p>
    <w:p>
      <w:pPr>
        <w:spacing w:after="160"/>
      </w:pPr>
      <w:r>
        <w:rPr>
          <w:sz w:val="24"/>
          <w:szCs w:val="24"/>
        </w:rPr>
        <w:t xml:space="preserve">Our health &amp; safety advisors make certain our clients adopt an effective approach to safety, compliance and risk management. Our teams are fully conversant with the Construction Design and Management Regulations, and provide their trusted health &amp; safety expertise on residential projects.</w:t>
      </w:r>
    </w:p>
    <w:p>
      <w:pPr>
        <w:spacing w:after="160"/>
      </w:pPr>
      <w:r>
        <w:rPr>
          <w:sz w:val="24"/>
          <w:szCs w:val="24"/>
        </w:rPr>
        <w:t xml:space="preserve">SRA monitor and assess the progress and quality of a construction project throughout the project duration. This includes monitoring and advising on costs, programme advice, quality control and health &amp; safety. Our team then reports back to the client on their areas of provision and provides detailed feedback and advice that affords an objective view of progress within the project and addresses any issues that may arise.</w:t>
      </w:r>
    </w:p>
    <w:p>
      <w:pPr>
        <w:spacing w:after="160"/>
      </w:pPr>
      <w:r>
        <w:rPr>
          <w:sz w:val="24"/>
          <w:szCs w:val="24"/>
        </w:rPr>
        <w:t xml:space="preserve">By undertaking close monitoring we can ensure our clients have an effective approach to safety and risk management, which can include assuming the role of Principal Designer and Competent Person (as defined by the Management Regulations and referenced in the CDM Regulations).</w:t>
      </w:r>
    </w:p>
    <w:p>
      <w:pPr>
        <w:spacing w:before="200" w:after="100"/>
      </w:pPr>
      <w:r>
        <w:rPr>
          <w:b/>
          <w:bCs/>
          <w:sz w:val="24"/>
          <w:szCs w:val="24"/>
        </w:rPr>
        <w:t xml:space="preserve">Our services cover:</w:t>
      </w:r>
    </w:p>
    <w:p>
      <w:pPr>
        <w:spacing w:after="60"/>
        <w:ind w:left="720"/>
      </w:pPr>
      <w:r>
        <w:rPr>
          <w:sz w:val="24"/>
          <w:szCs w:val="24"/>
        </w:rPr>
        <w:t xml:space="preserve">• Principal Designer</w:t>
      </w:r>
    </w:p>
    <w:p>
      <w:pPr>
        <w:spacing w:after="60"/>
        <w:ind w:left="720"/>
      </w:pPr>
      <w:r>
        <w:rPr>
          <w:sz w:val="24"/>
          <w:szCs w:val="24"/>
        </w:rPr>
        <w:t xml:space="preserve">• Health &amp; Safety Advice and Consultancy</w:t>
      </w:r>
    </w:p>
    <w:p>
      <w:pPr>
        <w:spacing w:after="60"/>
        <w:ind w:left="720"/>
      </w:pPr>
      <w:r>
        <w:rPr>
          <w:sz w:val="24"/>
          <w:szCs w:val="24"/>
        </w:rPr>
        <w:t xml:space="preserve">• Assessment of Contractors/Subcontractors</w:t>
      </w:r>
    </w:p>
    <w:p>
      <w:pPr>
        <w:spacing w:after="60"/>
        <w:ind w:left="720"/>
      </w:pPr>
      <w:r>
        <w:rPr>
          <w:sz w:val="24"/>
          <w:szCs w:val="24"/>
        </w:rPr>
        <w:t xml:space="preserve">• Health &amp; Safety Training</w:t>
      </w:r>
    </w:p>
    <w:p>
      <w:pPr>
        <w:spacing w:after="60"/>
        <w:ind w:left="720"/>
      </w:pPr>
      <w:r>
        <w:rPr>
          <w:sz w:val="24"/>
          <w:szCs w:val="24"/>
        </w:rPr>
        <w:t xml:space="preserve">• Health &amp; Safety Policies and Risk Assessments</w:t>
      </w:r>
    </w:p>
    <w:p>
      <w:pPr>
        <w:spacing w:after="60"/>
        <w:ind w:left="720"/>
      </w:pPr>
      <w:r>
        <w:rPr>
          <w:sz w:val="24"/>
          <w:szCs w:val="24"/>
        </w:rPr>
        <w:t xml:space="preserve">• Management Systems development and implementation</w:t>
      </w:r>
    </w:p>
    <w:p>
      <w:r>
        <w:br w:type="page"/>
      </w:r>
    </w:p>
    <w:p>
      <w:pPr>
        <w:pStyle w:val="Heading3"/>
        <w:spacing w:before="300"/>
      </w:pPr>
      <w:r>
        <w:rPr>
          <w:b/>
          <w:bCs/>
        </w:rPr>
        <w:t xml:space="preserve">6. Building Surveying</w:t>
      </w:r>
    </w:p>
    <w:p>
      <w:pPr>
        <w:spacing w:before="200" w:after="100"/>
      </w:pPr>
      <w:r>
        <w:rPr>
          <w:b/>
          <w:bCs/>
          <w:sz w:val="24"/>
          <w:szCs w:val="24"/>
        </w:rPr>
        <w:t xml:space="preserve">Descriptive Text:</w:t>
      </w:r>
    </w:p>
    <w:p>
      <w:pPr>
        <w:spacing w:after="160"/>
      </w:pPr>
      <w:r>
        <w:rPr>
          <w:sz w:val="24"/>
          <w:szCs w:val="24"/>
        </w:rPr>
        <w:t xml:space="preserve">Working with developers, investors, funds and tenants, we provide a wide range of professional building surveying related services associated with the practical aspects of owning, leasing, maintaining, developing and investing in residential property across a building's life cycle.</w:t>
      </w:r>
    </w:p>
    <w:p>
      <w:pPr>
        <w:spacing w:after="160"/>
      </w:pPr>
      <w:r>
        <w:rPr>
          <w:sz w:val="24"/>
          <w:szCs w:val="24"/>
        </w:rPr>
        <w:t xml:space="preserve">Clients benefit from our complete residential building surveying and design service for existing building assets from the management of refurbishment, extensions, spatial planning and alterations, through to the programming of planned maintenance works.</w:t>
      </w:r>
    </w:p>
    <w:p>
      <w:pPr>
        <w:spacing w:after="160"/>
      </w:pPr>
      <w:r>
        <w:rPr>
          <w:sz w:val="24"/>
          <w:szCs w:val="24"/>
        </w:rPr>
        <w:t xml:space="preserve">We lead where appropriate on matters requiring the resolution of complex Landlord and Tenant issues to create a clear plan in-line with the stakeholder's strategy to ensure any risk is minimised with the right outcome for the client.</w:t>
      </w:r>
    </w:p>
    <w:p>
      <w:pPr>
        <w:spacing w:before="200" w:after="100"/>
      </w:pPr>
      <w:r>
        <w:rPr>
          <w:b/>
          <w:bCs/>
          <w:sz w:val="24"/>
          <w:szCs w:val="24"/>
        </w:rPr>
        <w:t xml:space="preserve">Our services cover:</w:t>
      </w:r>
    </w:p>
    <w:p>
      <w:pPr>
        <w:spacing w:after="60"/>
        <w:ind w:left="720"/>
      </w:pPr>
      <w:r>
        <w:rPr>
          <w:sz w:val="24"/>
          <w:szCs w:val="24"/>
        </w:rPr>
        <w:t xml:space="preserve">• Commercial and industrial building surveys, inspections and reporting</w:t>
      </w:r>
    </w:p>
    <w:p>
      <w:pPr>
        <w:spacing w:after="60"/>
        <w:ind w:left="720"/>
      </w:pPr>
      <w:r>
        <w:rPr>
          <w:sz w:val="24"/>
          <w:szCs w:val="24"/>
        </w:rPr>
        <w:t xml:space="preserve">• Defects analysis and problem solving</w:t>
      </w:r>
    </w:p>
    <w:p>
      <w:pPr>
        <w:spacing w:after="60"/>
        <w:ind w:left="720"/>
      </w:pPr>
      <w:r>
        <w:rPr>
          <w:sz w:val="24"/>
          <w:szCs w:val="24"/>
        </w:rPr>
        <w:t xml:space="preserve">• Dilapidations assessments and Schedule preparation and negotiations</w:t>
      </w:r>
    </w:p>
    <w:p>
      <w:pPr>
        <w:spacing w:after="60"/>
        <w:ind w:left="720"/>
      </w:pPr>
      <w:r>
        <w:rPr>
          <w:sz w:val="24"/>
          <w:szCs w:val="24"/>
        </w:rPr>
        <w:t xml:space="preserve">• Development and fund monitoring</w:t>
      </w:r>
    </w:p>
    <w:p>
      <w:pPr>
        <w:spacing w:after="60"/>
        <w:ind w:left="720"/>
      </w:pPr>
      <w:r>
        <w:rPr>
          <w:sz w:val="24"/>
          <w:szCs w:val="24"/>
        </w:rPr>
        <w:t xml:space="preserve">• Schedule of conditions</w:t>
      </w:r>
    </w:p>
    <w:p>
      <w:pPr>
        <w:spacing w:after="60"/>
        <w:ind w:left="720"/>
      </w:pPr>
      <w:r>
        <w:rPr>
          <w:sz w:val="24"/>
          <w:szCs w:val="24"/>
        </w:rPr>
        <w:t xml:space="preserve">• Party Wall specialist services</w:t>
      </w:r>
    </w:p>
    <w:p>
      <w:pPr>
        <w:spacing w:after="60"/>
        <w:ind w:left="720"/>
      </w:pPr>
      <w:r>
        <w:rPr>
          <w:sz w:val="24"/>
          <w:szCs w:val="24"/>
        </w:rPr>
        <w:t xml:space="preserve">• Rebuild cost assessment for insurance purposes</w:t>
      </w:r>
    </w:p>
    <w:p>
      <w:pPr>
        <w:spacing w:after="60"/>
        <w:ind w:left="720"/>
      </w:pPr>
      <w:r>
        <w:rPr>
          <w:sz w:val="24"/>
          <w:szCs w:val="24"/>
        </w:rPr>
        <w:t xml:space="preserve">• Contract administration of refurbishment and new build project works</w:t>
      </w:r>
    </w:p>
    <w:p>
      <w:pPr>
        <w:spacing w:after="60"/>
        <w:ind w:left="720"/>
      </w:pPr>
      <w:r>
        <w:rPr>
          <w:sz w:val="24"/>
          <w:szCs w:val="24"/>
        </w:rPr>
        <w:t xml:space="preserve">• Planned maintenance services</w:t>
      </w:r>
    </w:p>
    <w:p>
      <w:pPr>
        <w:spacing w:after="60"/>
        <w:ind w:left="720"/>
      </w:pPr>
      <w:r>
        <w:rPr>
          <w:sz w:val="24"/>
          <w:szCs w:val="24"/>
        </w:rPr>
        <w:t xml:space="preserve">• Clerk of Works</w:t>
      </w:r>
    </w:p>
    <w:p>
      <w:r>
        <w:br w:type="page"/>
      </w:r>
    </w:p>
    <w:p>
      <w:pPr>
        <w:pStyle w:val="Heading2"/>
      </w:pPr>
      <w:r>
        <w:rPr>
          <w:b/>
          <w:bCs/>
        </w:rPr>
        <w:t xml:space="preserve">Additional Notes</w:t>
      </w:r>
    </w:p>
    <w:p>
      <w:pPr>
        <w:spacing w:after="120"/>
      </w:pPr>
      <w:r>
        <w:rPr>
          <w:sz w:val="24"/>
          <w:szCs w:val="24"/>
        </w:rPr>
        <w:t xml:space="preserve">1. Ensure all content is responsive and displays correctly on mobile devices.</w:t>
      </w:r>
    </w:p>
    <w:p>
      <w:pPr>
        <w:spacing w:after="120"/>
      </w:pPr>
      <w:r>
        <w:rPr>
          <w:sz w:val="24"/>
          <w:szCs w:val="24"/>
        </w:rPr>
        <w:t xml:space="preserve">2. The "Our services cover" lists should be presented in a two-column layout on desktop views, single column on mobile.</w:t>
      </w:r>
    </w:p>
    <w:p>
      <w:pPr>
        <w:spacing w:after="120"/>
      </w:pPr>
      <w:r>
        <w:rPr>
          <w:sz w:val="24"/>
          <w:szCs w:val="24"/>
        </w:rPr>
        <w:t xml:space="preserve">3. Maintain consistent spacing between sections across all service pages.</w:t>
      </w:r>
    </w:p>
    <w:p>
      <w:pPr>
        <w:spacing w:after="120"/>
      </w:pPr>
      <w:r>
        <w:rPr>
          <w:sz w:val="24"/>
          <w:szCs w:val="24"/>
        </w:rPr>
        <w:t xml:space="preserve">4. The dark blue colour (#1e4a6d or similar) should be used for all headings to match existing brand styling.</w:t>
      </w:r>
    </w:p>
    <w:p>
      <w:pPr>
        <w:spacing w:after="120"/>
      </w:pPr>
      <w:r>
        <w:rPr>
          <w:sz w:val="24"/>
          <w:szCs w:val="24"/>
        </w:rPr>
        <w:t xml:space="preserve">5. Consider adding relevant imagery or icons to enhance visual appeal of each service page.</w:t>
      </w:r>
    </w:p>
    <w:p>
      <w:pPr>
        <w:spacing w:after="120"/>
      </w:pPr>
      <w:r>
        <w:rPr>
          <w:sz w:val="24"/>
          <w:szCs w:val="24"/>
        </w:rPr>
        <w:t xml:space="preserve">6. Ensure proper semantic HTML structure for accessibility and SEO purposes.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e4a6d"/>
      <w:sz w:val="48"/>
      <w:szCs w:val="48"/>
    </w:rPr>
  </w:style>
  <w:style w:type="paragraph" w:styleId="Heading2">
    <w:name w:val="Heading 2"/>
    <w:basedOn w:val="Normal"/>
    <w:next w:val="Normal"/>
    <w:qFormat/>
    <w:pPr>
      <w:spacing w:before="200" w:after="160"/>
      <w:outlineLvl w:val="1"/>
    </w:pPr>
    <w:rPr>
      <w:rFonts w:ascii="Arial" w:cs="Arial" w:eastAsia="Arial" w:hAnsi="Arial"/>
      <w:b/>
      <w:bCs/>
      <w:color w:val="1e4a6d"/>
      <w:sz w:val="32"/>
      <w:szCs w:val="32"/>
    </w:rPr>
  </w:style>
  <w:style w:type="paragraph" w:styleId="Heading3">
    <w:name w:val="Heading 3"/>
    <w:basedOn w:val="Normal"/>
    <w:next w:val="Normal"/>
    <w:qFormat/>
    <w:pPr>
      <w:spacing w:before="160" w:after="120"/>
      <w:outlineLvl w:val="2"/>
    </w:pPr>
    <w:rPr>
      <w:rFonts w:ascii="Arial" w:cs="Arial" w:eastAsia="Arial" w:hAnsi="Arial"/>
      <w:b/>
      <w:bCs/>
      <w:color w:val="1e4a6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2026-01-19T16:49:46.080Z</dcterms:created>
  <dcterms:modified xsi:type="dcterms:W3CDTF">2026-01-19T16:49:46.081Z</dcterms:modified>
</cp:coreProperties>
</file>

<file path=docProps/custom.xml><?xml version="1.0" encoding="utf-8"?>
<Properties xmlns="http://schemas.openxmlformats.org/officeDocument/2006/custom-properties" xmlns:vt="http://schemas.openxmlformats.org/officeDocument/2006/docPropsVTypes"/>
</file>