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caps/>
          <w:color w:val="595959"/>
          <w:sz w:val="16"/>
          <w:szCs w:val="16"/>
        </w:rPr>
        <w:t xml:space="preserve">STRICTLY PRIVATE AND CONFIDENTIAL</w:t>
      </w:r>
    </w:p>
    <w:p>
      <w:pPr>
        <w:pBdr>
          <w:bottom w:val="single" w:color="1F3864" w:sz="14" w:space="10"/>
        </w:pBdr>
        <w:spacing w:after="0" w:before="40"/>
      </w:pPr>
      <w:r>
        <w:rPr>
          <w:rFonts w:ascii="Calibri" w:cs="Calibri" w:eastAsia="Calibri" w:hAnsi="Calibri"/>
          <w:sz w:val="12"/>
          <w:szCs w:val="12"/>
        </w:rPr>
        <w:t xml:space="preserve"/>
      </w:r>
    </w:p>
    <w:p>
      <w:pPr>
        <w:spacing w:after="60" w:before="320"/>
      </w:pPr>
      <w:r>
        <w:rPr>
          <w:rFonts w:ascii="Calibri" w:cs="Calibri" w:eastAsia="Calibri" w:hAnsi="Calibri"/>
          <w:b/>
          <w:bCs/>
          <w:color w:val="1F3864"/>
          <w:sz w:val="44"/>
          <w:szCs w:val="44"/>
        </w:rPr>
        <w:t xml:space="preserve">Peking University Healthcare Group</w:t>
      </w:r>
    </w:p>
    <w:p>
      <w:pPr>
        <w:spacing w:after="40"/>
      </w:pPr>
      <w:r>
        <w:rPr>
          <w:rFonts w:ascii="Calibri" w:cs="Calibri" w:eastAsia="Calibri" w:hAnsi="Calibri"/>
          <w:color w:val="2E5496"/>
          <w:sz w:val="30"/>
          <w:szCs w:val="30"/>
        </w:rPr>
        <w:t xml:space="preserve">Preliminary Review</w:t>
      </w:r>
    </w:p>
    <w:p>
      <w:pPr>
        <w:spacing w:after="320"/>
      </w:pPr>
      <w:r>
        <w:rPr>
          <w:rFonts w:ascii="Calibri" w:cs="Calibri" w:eastAsia="Calibri" w:hAnsi="Calibri"/>
          <w:i/>
          <w:iCs/>
          <w:color w:val="595959"/>
          <w:sz w:val="20"/>
          <w:szCs w:val="20"/>
        </w:rPr>
        <w:t xml:space="preserve">Based on publicly available information</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2600"/>
        <w:gridCol w:w="7480"/>
      </w:tblGrid>
      <w:tr>
        <w:tc>
          <w:tcPr>
            <w:tcW w:type="dxa" w:w="26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Prepared for</w:t>
            </w:r>
          </w:p>
        </w:tc>
        <w:tc>
          <w:tcPr>
            <w:tcW w:type="dxa" w:w="7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Internal discussion — Sections 2 and 3 background</w:t>
            </w:r>
          </w:p>
        </w:tc>
      </w:tr>
      <w:tr>
        <w:tc>
          <w:tcPr>
            <w:tcW w:type="dxa" w:w="2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Date</w:t>
            </w:r>
          </w:p>
        </w:tc>
        <w:tc>
          <w:tcPr>
            <w:tcW w:type="dxa" w:w="7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August 2026</w:t>
            </w:r>
          </w:p>
        </w:tc>
      </w:tr>
      <w:tr>
        <w:tc>
          <w:tcPr>
            <w:tcW w:type="dxa" w:w="26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Status</w:t>
            </w:r>
          </w:p>
        </w:tc>
        <w:tc>
          <w:tcPr>
            <w:tcW w:type="dxa" w:w="7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Draft — figures to be verified prior to external use</w:t>
            </w:r>
          </w:p>
        </w:tc>
      </w:tr>
      <w:tr>
        <w:tc>
          <w:tcPr>
            <w:tcW w:type="dxa" w:w="2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Basis</w:t>
            </w:r>
          </w:p>
        </w:tc>
        <w:tc>
          <w:tcPr>
            <w:tcW w:type="dxa" w:w="7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Public sources only. No confidential or company-provided information has been used.</w:t>
            </w:r>
          </w:p>
        </w:tc>
      </w:tr>
    </w:tbl>
    <w:p>
      <w:pPr>
        <w:spacing w:after="400"/>
      </w:pPr>
      <w:r>
        <w:rPr>
          <w:rFonts w:ascii="Calibri" w:cs="Calibri" w:eastAsia="Calibri" w:hAnsi="Calibri"/>
          <w:b w:val="false"/>
          <w:bCs w:val="false"/>
          <w:i w:val="false"/>
          <w:iCs w:val="false"/>
          <w:caps w:val="false"/>
          <w:color w:val="000000"/>
          <w:sz w:val="20"/>
          <w:szCs w:val="20"/>
        </w:rPr>
        <w:t xml:space="preserve"/>
      </w:r>
    </w:p>
    <w:tbl>
      <w:tblPr>
        <w:tblW w:type="dxa" w:w="10080"/>
        <w:tblBorders>
          <w:top w:val="single" w:color="2E5496" w:sz="4"/>
          <w:left w:val="single" w:color="2E5496" w:sz="18"/>
          <w:bottom w:val="single" w:color="2E5496" w:sz="4"/>
          <w:right w:val="single" w:color="2E5496" w:sz="4"/>
          <w:insideH w:val="none" w:color="FFFFFF" w:sz="0"/>
          <w:insideV w:val="none" w:color="FFFFFF" w:sz="0"/>
        </w:tblBorders>
      </w:tblPr>
      <w:tblGrid>
        <w:gridCol w:w="10080"/>
      </w:tblGrid>
      <w:tr>
        <w:tc>
          <w:tcPr>
            <w:tcW w:type="dxa" w:w="10080"/>
            <w:shd w:fill="F4F6FA" w:color="auto" w:val="clear"/>
            <w:tcMar>
              <w:top w:type="dxa" w:w="120"/>
              <w:left w:type="dxa" w:w="180"/>
              <w:bottom w:type="dxa" w:w="120"/>
              <w:right w:type="dxa" w:w="160"/>
            </w:tcMar>
          </w:tcPr>
          <w:p>
            <w:pPr>
              <w:spacing w:after="70" w:before="40"/>
            </w:pPr>
            <w:r>
              <w:rPr>
                <w:rFonts w:ascii="Calibri" w:cs="Calibri" w:eastAsia="Calibri" w:hAnsi="Calibri"/>
                <w:b/>
                <w:bCs/>
                <w:color w:val="1F3864"/>
                <w:sz w:val="19"/>
                <w:szCs w:val="19"/>
              </w:rPr>
              <w:t xml:space="preserve">Basis of preparation and limitations</w:t>
            </w:r>
          </w:p>
          <w:p>
            <w:pPr>
              <w:spacing w:after="110" w:line="264"/>
            </w:pPr>
            <w:r>
              <w:rPr>
                <w:rFonts w:ascii="Calibri" w:cs="Calibri" w:eastAsia="Calibri" w:hAnsi="Calibri"/>
                <w:b w:val="false"/>
                <w:bCs w:val="false"/>
                <w:i w:val="false"/>
                <w:iCs w:val="false"/>
                <w:caps w:val="false"/>
                <w:color w:val="000000"/>
                <w:sz w:val="18"/>
                <w:szCs w:val="18"/>
              </w:rPr>
              <w:t xml:space="preserve">This review has been compiled exclusively from publicly available sources, principally regulatory filings of Ping An Life Insurance Company of China, Ltd., exchange announcements of PKU Healthcare Corp., Ltd. (000788.SZ) and Ping An Healthcare and Technology Company Limited (1833.HK), and company statements made at Ping An investor and media events.</w:t>
            </w:r>
          </w:p>
          <w:p>
            <w:pPr>
              <w:spacing w:after="0" w:line="264"/>
            </w:pPr>
            <w:r>
              <w:rPr>
                <w:rFonts w:ascii="Calibri" w:cs="Calibri" w:eastAsia="Calibri" w:hAnsi="Calibri"/>
                <w:b w:val="false"/>
                <w:bCs w:val="false"/>
                <w:i w:val="false"/>
                <w:iCs w:val="false"/>
                <w:caps w:val="false"/>
                <w:color w:val="000000"/>
                <w:sz w:val="18"/>
                <w:szCs w:val="18"/>
              </w:rPr>
              <w:t xml:space="preserve">The target is a private company and does not publish financial statements. Group-level revenue, profitability, net assets and indebtedness are therefore either unavailable or available only on a partial basis. Where figures are presented, the source and reporting period are identified and a reliability assessment is provided. All figures should be independently verified before being included in client-facing materials.</w:t>
            </w:r>
          </w:p>
        </w:tc>
      </w:tr>
    </w:tbl>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Contents</w:t>
      </w:r>
    </w:p>
    <w:p>
      <w:pPr>
        <w:spacing w:after="40" w:before="160"/>
      </w:pPr>
      <w:r>
        <w:rPr>
          <w:rFonts w:ascii="Calibri" w:cs="Calibri" w:eastAsia="Calibri" w:hAnsi="Calibri"/>
          <w:b/>
          <w:bCs/>
          <w:color w:val="1F3864"/>
          <w:sz w:val="21"/>
          <w:szCs w:val="21"/>
        </w:rPr>
        <w:t xml:space="preserve">1.  </w:t>
      </w:r>
      <w:r>
        <w:rPr>
          <w:rFonts w:ascii="Calibri" w:cs="Calibri" w:eastAsia="Calibri" w:hAnsi="Calibri"/>
          <w:b/>
          <w:bCs/>
          <w:color w:val="1F3864"/>
          <w:sz w:val="21"/>
          <w:szCs w:val="21"/>
        </w:rPr>
        <w:t xml:space="preserve">Executive Summary</w:t>
      </w:r>
    </w:p>
    <w:p>
      <w:pPr>
        <w:spacing w:after="20" w:line="252"/>
        <w:ind w:left="520"/>
      </w:pPr>
      <w:r>
        <w:rPr>
          <w:rFonts w:ascii="Calibri" w:cs="Calibri" w:eastAsia="Calibri" w:hAnsi="Calibri"/>
          <w:color w:val="595959"/>
          <w:sz w:val="18"/>
          <w:szCs w:val="18"/>
        </w:rPr>
        <w:t xml:space="preserve">1.1  Matters requiring attention</w:t>
      </w:r>
    </w:p>
    <w:p>
      <w:pPr>
        <w:spacing w:after="20" w:line="252"/>
        <w:ind w:left="520"/>
      </w:pPr>
      <w:r>
        <w:rPr>
          <w:rFonts w:ascii="Calibri" w:cs="Calibri" w:eastAsia="Calibri" w:hAnsi="Calibri"/>
          <w:color w:val="595959"/>
          <w:sz w:val="18"/>
          <w:szCs w:val="18"/>
        </w:rPr>
        <w:t xml:space="preserve">1.2  Company snapshot</w:t>
      </w:r>
    </w:p>
    <w:p>
      <w:pPr>
        <w:spacing w:after="20" w:line="252"/>
        <w:ind w:left="520"/>
      </w:pPr>
      <w:r>
        <w:rPr>
          <w:rFonts w:ascii="Calibri" w:cs="Calibri" w:eastAsia="Calibri" w:hAnsi="Calibri"/>
          <w:color w:val="595959"/>
          <w:sz w:val="18"/>
          <w:szCs w:val="18"/>
        </w:rPr>
        <w:t xml:space="preserve">1.3  Reconciliation to figures used in discussion</w:t>
      </w:r>
    </w:p>
    <w:p>
      <w:pPr>
        <w:spacing w:after="40" w:before="160"/>
      </w:pPr>
      <w:r>
        <w:rPr>
          <w:rFonts w:ascii="Calibri" w:cs="Calibri" w:eastAsia="Calibri" w:hAnsi="Calibri"/>
          <w:b/>
          <w:bCs/>
          <w:color w:val="1F3864"/>
          <w:sz w:val="21"/>
          <w:szCs w:val="21"/>
        </w:rPr>
        <w:t xml:space="preserve">2.  </w:t>
      </w:r>
      <w:r>
        <w:rPr>
          <w:rFonts w:ascii="Calibri" w:cs="Calibri" w:eastAsia="Calibri" w:hAnsi="Calibri"/>
          <w:b/>
          <w:bCs/>
          <w:color w:val="1F3864"/>
          <w:sz w:val="21"/>
          <w:szCs w:val="21"/>
        </w:rPr>
        <w:t xml:space="preserve">Business Overview</w:t>
      </w:r>
    </w:p>
    <w:p>
      <w:pPr>
        <w:spacing w:after="20" w:line="252"/>
        <w:ind w:left="520"/>
      </w:pPr>
      <w:r>
        <w:rPr>
          <w:rFonts w:ascii="Calibri" w:cs="Calibri" w:eastAsia="Calibri" w:hAnsi="Calibri"/>
          <w:color w:val="595959"/>
          <w:sz w:val="18"/>
          <w:szCs w:val="18"/>
        </w:rPr>
        <w:t xml:space="preserve">2.1  Strategic framework</w:t>
      </w:r>
    </w:p>
    <w:p>
      <w:pPr>
        <w:spacing w:after="20" w:line="252"/>
        <w:ind w:left="520"/>
      </w:pPr>
      <w:r>
        <w:rPr>
          <w:rFonts w:ascii="Calibri" w:cs="Calibri" w:eastAsia="Calibri" w:hAnsi="Calibri"/>
          <w:color w:val="595959"/>
          <w:sz w:val="18"/>
          <w:szCs w:val="18"/>
        </w:rPr>
        <w:t xml:space="preserve">2.2  Healthcare delivery network</w:t>
      </w:r>
    </w:p>
    <w:p>
      <w:pPr>
        <w:spacing w:after="20" w:line="252"/>
        <w:ind w:left="520"/>
      </w:pPr>
      <w:r>
        <w:rPr>
          <w:rFonts w:ascii="Calibri" w:cs="Calibri" w:eastAsia="Calibri" w:hAnsi="Calibri"/>
          <w:color w:val="595959"/>
          <w:sz w:val="18"/>
          <w:szCs w:val="18"/>
        </w:rPr>
        <w:t xml:space="preserve">2.3  Health management and clinics</w:t>
      </w:r>
    </w:p>
    <w:p>
      <w:pPr>
        <w:spacing w:after="20" w:line="252"/>
        <w:ind w:left="520"/>
      </w:pPr>
      <w:r>
        <w:rPr>
          <w:rFonts w:ascii="Calibri" w:cs="Calibri" w:eastAsia="Calibri" w:hAnsi="Calibri"/>
          <w:color w:val="595959"/>
          <w:sz w:val="18"/>
          <w:szCs w:val="18"/>
        </w:rPr>
        <w:t xml:space="preserve">2.4  Rehabilitation, paediatric and special education</w:t>
      </w:r>
    </w:p>
    <w:p>
      <w:pPr>
        <w:spacing w:after="20" w:line="252"/>
        <w:ind w:left="520"/>
      </w:pPr>
      <w:r>
        <w:rPr>
          <w:rFonts w:ascii="Calibri" w:cs="Calibri" w:eastAsia="Calibri" w:hAnsi="Calibri"/>
          <w:color w:val="595959"/>
          <w:sz w:val="18"/>
          <w:szCs w:val="18"/>
        </w:rPr>
        <w:t xml:space="preserve">2.5  Industrial park and venture investment</w:t>
      </w:r>
    </w:p>
    <w:p>
      <w:pPr>
        <w:spacing w:after="20" w:line="252"/>
        <w:ind w:left="520"/>
      </w:pPr>
      <w:r>
        <w:rPr>
          <w:rFonts w:ascii="Calibri" w:cs="Calibri" w:eastAsia="Calibri" w:hAnsi="Calibri"/>
          <w:color w:val="595959"/>
          <w:sz w:val="18"/>
          <w:szCs w:val="18"/>
        </w:rPr>
        <w:t xml:space="preserve">2.6  Hospital management platforms</w:t>
      </w:r>
    </w:p>
    <w:p>
      <w:pPr>
        <w:spacing w:after="20" w:line="252"/>
        <w:ind w:left="520"/>
      </w:pPr>
      <w:r>
        <w:rPr>
          <w:rFonts w:ascii="Calibri" w:cs="Calibri" w:eastAsia="Calibri" w:hAnsi="Calibri"/>
          <w:color w:val="595959"/>
          <w:sz w:val="18"/>
          <w:szCs w:val="18"/>
        </w:rPr>
        <w:t xml:space="preserve">2.7  Assets outside the perimeter</w:t>
      </w:r>
    </w:p>
    <w:p>
      <w:pPr>
        <w:spacing w:after="40" w:before="160"/>
      </w:pPr>
      <w:r>
        <w:rPr>
          <w:rFonts w:ascii="Calibri" w:cs="Calibri" w:eastAsia="Calibri" w:hAnsi="Calibri"/>
          <w:b/>
          <w:bCs/>
          <w:color w:val="1F3864"/>
          <w:sz w:val="21"/>
          <w:szCs w:val="21"/>
        </w:rPr>
        <w:t xml:space="preserve">3.  </w:t>
      </w:r>
      <w:r>
        <w:rPr>
          <w:rFonts w:ascii="Calibri" w:cs="Calibri" w:eastAsia="Calibri" w:hAnsi="Calibri"/>
          <w:b/>
          <w:bCs/>
          <w:color w:val="1F3864"/>
          <w:sz w:val="21"/>
          <w:szCs w:val="21"/>
        </w:rPr>
        <w:t xml:space="preserve">Ownership Structure</w:t>
      </w:r>
    </w:p>
    <w:p>
      <w:pPr>
        <w:spacing w:after="20" w:line="252"/>
        <w:ind w:left="520"/>
      </w:pPr>
      <w:r>
        <w:rPr>
          <w:rFonts w:ascii="Calibri" w:cs="Calibri" w:eastAsia="Calibri" w:hAnsi="Calibri"/>
          <w:color w:val="595959"/>
          <w:sz w:val="18"/>
          <w:szCs w:val="18"/>
        </w:rPr>
        <w:t xml:space="preserve">3.1  Upper-tier ownership</w:t>
      </w:r>
    </w:p>
    <w:p>
      <w:pPr>
        <w:spacing w:after="20" w:line="252"/>
        <w:ind w:left="520"/>
      </w:pPr>
      <w:r>
        <w:rPr>
          <w:rFonts w:ascii="Calibri" w:cs="Calibri" w:eastAsia="Calibri" w:hAnsi="Calibri"/>
          <w:color w:val="595959"/>
          <w:sz w:val="18"/>
          <w:szCs w:val="18"/>
        </w:rPr>
        <w:t xml:space="preserve">3.2  Principal subsidiaries and holdings</w:t>
      </w:r>
    </w:p>
    <w:p>
      <w:pPr>
        <w:spacing w:after="20" w:line="252"/>
        <w:ind w:left="520"/>
      </w:pPr>
      <w:r>
        <w:rPr>
          <w:rFonts w:ascii="Calibri" w:cs="Calibri" w:eastAsia="Calibri" w:hAnsi="Calibri"/>
          <w:color w:val="595959"/>
          <w:sz w:val="18"/>
          <w:szCs w:val="18"/>
        </w:rPr>
        <w:t xml:space="preserve">3.3  Observations</w:t>
      </w:r>
    </w:p>
    <w:p>
      <w:pPr>
        <w:spacing w:after="40" w:before="160"/>
      </w:pPr>
      <w:r>
        <w:rPr>
          <w:rFonts w:ascii="Calibri" w:cs="Calibri" w:eastAsia="Calibri" w:hAnsi="Calibri"/>
          <w:b/>
          <w:bCs/>
          <w:color w:val="1F3864"/>
          <w:sz w:val="21"/>
          <w:szCs w:val="21"/>
        </w:rPr>
        <w:t xml:space="preserve">4.  </w:t>
      </w:r>
      <w:r>
        <w:rPr>
          <w:rFonts w:ascii="Calibri" w:cs="Calibri" w:eastAsia="Calibri" w:hAnsi="Calibri"/>
          <w:b/>
          <w:bCs/>
          <w:color w:val="1F3864"/>
          <w:sz w:val="21"/>
          <w:szCs w:val="21"/>
        </w:rPr>
        <w:t xml:space="preserve">Financial Information</w:t>
      </w:r>
    </w:p>
    <w:p>
      <w:pPr>
        <w:spacing w:after="20" w:line="252"/>
        <w:ind w:left="520"/>
      </w:pPr>
      <w:r>
        <w:rPr>
          <w:rFonts w:ascii="Calibri" w:cs="Calibri" w:eastAsia="Calibri" w:hAnsi="Calibri"/>
          <w:color w:val="595959"/>
          <w:sz w:val="18"/>
          <w:szCs w:val="18"/>
        </w:rPr>
        <w:t xml:space="preserve">4.1  Group level</w:t>
      </w:r>
    </w:p>
    <w:p>
      <w:pPr>
        <w:spacing w:after="20" w:line="252"/>
        <w:ind w:left="520"/>
      </w:pPr>
      <w:r>
        <w:rPr>
          <w:rFonts w:ascii="Calibri" w:cs="Calibri" w:eastAsia="Calibri" w:hAnsi="Calibri"/>
          <w:color w:val="595959"/>
          <w:sz w:val="18"/>
          <w:szCs w:val="18"/>
        </w:rPr>
        <w:t xml:space="preserve">4.2  Peking University International Hospital</w:t>
      </w:r>
    </w:p>
    <w:p>
      <w:pPr>
        <w:spacing w:after="20" w:line="252"/>
        <w:ind w:left="520"/>
      </w:pPr>
      <w:r>
        <w:rPr>
          <w:rFonts w:ascii="Calibri" w:cs="Calibri" w:eastAsia="Calibri" w:hAnsi="Calibri"/>
          <w:color w:val="595959"/>
          <w:sz w:val="18"/>
          <w:szCs w:val="18"/>
        </w:rPr>
        <w:t xml:space="preserve">4.3  Implied procurement scale</w:t>
      </w:r>
    </w:p>
    <w:p>
      <w:pPr>
        <w:spacing w:after="20" w:line="252"/>
        <w:ind w:left="520"/>
      </w:pPr>
      <w:r>
        <w:rPr>
          <w:rFonts w:ascii="Calibri" w:cs="Calibri" w:eastAsia="Calibri" w:hAnsi="Calibri"/>
          <w:color w:val="595959"/>
          <w:sz w:val="18"/>
          <w:szCs w:val="18"/>
        </w:rPr>
        <w:t xml:space="preserve">4.4  Comparison — Ping An Healthcare and Technology (1833.HK)</w:t>
      </w:r>
    </w:p>
    <w:p>
      <w:pPr>
        <w:spacing w:after="20" w:line="252"/>
        <w:ind w:left="520"/>
      </w:pPr>
      <w:r>
        <w:rPr>
          <w:rFonts w:ascii="Calibri" w:cs="Calibri" w:eastAsia="Calibri" w:hAnsi="Calibri"/>
          <w:color w:val="595959"/>
          <w:sz w:val="18"/>
          <w:szCs w:val="18"/>
        </w:rPr>
        <w:t xml:space="preserve">4.5  Illustrative combined position</w:t>
      </w:r>
    </w:p>
    <w:p>
      <w:pPr>
        <w:spacing w:after="40" w:before="160"/>
      </w:pPr>
      <w:r>
        <w:rPr>
          <w:rFonts w:ascii="Calibri" w:cs="Calibri" w:eastAsia="Calibri" w:hAnsi="Calibri"/>
          <w:b/>
          <w:bCs/>
          <w:color w:val="1F3864"/>
          <w:sz w:val="21"/>
          <w:szCs w:val="21"/>
        </w:rPr>
        <w:t xml:space="preserve">5.  </w:t>
      </w:r>
      <w:r>
        <w:rPr>
          <w:rFonts w:ascii="Calibri" w:cs="Calibri" w:eastAsia="Calibri" w:hAnsi="Calibri"/>
          <w:b/>
          <w:bCs/>
          <w:color w:val="1F3864"/>
          <w:sz w:val="21"/>
          <w:szCs w:val="21"/>
        </w:rPr>
        <w:t xml:space="preserve">Corporate History</w:t>
      </w:r>
    </w:p>
    <w:p>
      <w:pPr>
        <w:spacing w:after="40" w:before="160"/>
      </w:pPr>
      <w:r>
        <w:rPr>
          <w:rFonts w:ascii="Calibri" w:cs="Calibri" w:eastAsia="Calibri" w:hAnsi="Calibri"/>
          <w:b/>
          <w:bCs/>
          <w:color w:val="1F3864"/>
          <w:sz w:val="21"/>
          <w:szCs w:val="21"/>
        </w:rPr>
        <w:t xml:space="preserve">6.  </w:t>
      </w:r>
      <w:r>
        <w:rPr>
          <w:rFonts w:ascii="Calibri" w:cs="Calibri" w:eastAsia="Calibri" w:hAnsi="Calibri"/>
          <w:b/>
          <w:bCs/>
          <w:color w:val="1F3864"/>
          <w:sz w:val="21"/>
          <w:szCs w:val="21"/>
        </w:rPr>
        <w:t xml:space="preserve">Transaction Considerations</w:t>
      </w:r>
    </w:p>
    <w:p>
      <w:pPr>
        <w:spacing w:after="20" w:line="252"/>
        <w:ind w:left="520"/>
      </w:pPr>
      <w:r>
        <w:rPr>
          <w:rFonts w:ascii="Calibri" w:cs="Calibri" w:eastAsia="Calibri" w:hAnsi="Calibri"/>
          <w:color w:val="595959"/>
          <w:sz w:val="18"/>
          <w:szCs w:val="18"/>
        </w:rPr>
        <w:t xml:space="preserve">6.1  Not-for-profit status of the flagship hospital</w:t>
      </w:r>
    </w:p>
    <w:p>
      <w:pPr>
        <w:spacing w:after="20" w:line="252"/>
        <w:ind w:left="520"/>
      </w:pPr>
      <w:r>
        <w:rPr>
          <w:rFonts w:ascii="Calibri" w:cs="Calibri" w:eastAsia="Calibri" w:hAnsi="Calibri"/>
          <w:color w:val="595959"/>
          <w:sz w:val="18"/>
          <w:szCs w:val="18"/>
        </w:rPr>
        <w:t xml:space="preserve">6.2  Peking University brand licensing</w:t>
      </w:r>
    </w:p>
    <w:p>
      <w:pPr>
        <w:spacing w:after="20" w:line="252"/>
        <w:ind w:left="520"/>
      </w:pPr>
      <w:r>
        <w:rPr>
          <w:rFonts w:ascii="Calibri" w:cs="Calibri" w:eastAsia="Calibri" w:hAnsi="Calibri"/>
          <w:color w:val="595959"/>
          <w:sz w:val="18"/>
          <w:szCs w:val="18"/>
        </w:rPr>
        <w:t xml:space="preserve">6.3  State-owned minority shareholders</w:t>
      </w:r>
    </w:p>
    <w:p>
      <w:pPr>
        <w:spacing w:after="20" w:line="252"/>
        <w:ind w:left="520"/>
      </w:pPr>
      <w:r>
        <w:rPr>
          <w:rFonts w:ascii="Calibri" w:cs="Calibri" w:eastAsia="Calibri" w:hAnsi="Calibri"/>
          <w:color w:val="595959"/>
          <w:sz w:val="18"/>
          <w:szCs w:val="18"/>
        </w:rPr>
        <w:t xml:space="preserve">6.4  Pledged and declining interest in the listed pharmaceutical business</w:t>
      </w:r>
    </w:p>
    <w:p>
      <w:pPr>
        <w:spacing w:after="20" w:line="252"/>
        <w:ind w:left="520"/>
      </w:pPr>
      <w:r>
        <w:rPr>
          <w:rFonts w:ascii="Calibri" w:cs="Calibri" w:eastAsia="Calibri" w:hAnsi="Calibri"/>
          <w:color w:val="595959"/>
          <w:sz w:val="18"/>
          <w:szCs w:val="18"/>
        </w:rPr>
        <w:t xml:space="preserve">6.5  Items previously identified</w:t>
      </w:r>
    </w:p>
    <w:p>
      <w:pPr>
        <w:spacing w:after="20" w:line="252"/>
        <w:ind w:left="520"/>
      </w:pPr>
      <w:r>
        <w:rPr>
          <w:rFonts w:ascii="Calibri" w:cs="Calibri" w:eastAsia="Calibri" w:hAnsi="Calibri"/>
          <w:color w:val="595959"/>
          <w:sz w:val="18"/>
          <w:szCs w:val="18"/>
        </w:rPr>
        <w:t xml:space="preserve">6.6  A potential precedent worth developing</w:t>
      </w:r>
    </w:p>
    <w:p>
      <w:pPr>
        <w:spacing w:after="40" w:before="160"/>
      </w:pPr>
      <w:r>
        <w:rPr>
          <w:rFonts w:ascii="Calibri" w:cs="Calibri" w:eastAsia="Calibri" w:hAnsi="Calibri"/>
          <w:b/>
          <w:bCs/>
          <w:color w:val="1F3864"/>
          <w:sz w:val="21"/>
          <w:szCs w:val="21"/>
        </w:rPr>
        <w:t xml:space="preserve">7.  </w:t>
      </w:r>
      <w:r>
        <w:rPr>
          <w:rFonts w:ascii="Calibri" w:cs="Calibri" w:eastAsia="Calibri" w:hAnsi="Calibri"/>
          <w:b/>
          <w:bCs/>
          <w:color w:val="1F3864"/>
          <w:sz w:val="21"/>
          <w:szCs w:val="21"/>
        </w:rPr>
        <w:t xml:space="preserve">Information Gaps and Suggested Diligence</w:t>
      </w:r>
    </w:p>
    <w:p>
      <w:pPr>
        <w:spacing w:after="20" w:line="252"/>
        <w:ind w:left="520"/>
      </w:pPr>
      <w:r>
        <w:rPr>
          <w:rFonts w:ascii="Calibri" w:cs="Calibri" w:eastAsia="Calibri" w:hAnsi="Calibri"/>
          <w:color w:val="595959"/>
          <w:sz w:val="18"/>
          <w:szCs w:val="18"/>
        </w:rPr>
        <w:t xml:space="preserve">7.1  Outstanding gaps</w:t>
      </w:r>
    </w:p>
    <w:p>
      <w:pPr>
        <w:spacing w:after="20" w:line="252"/>
        <w:ind w:left="520"/>
      </w:pPr>
      <w:r>
        <w:rPr>
          <w:rFonts w:ascii="Calibri" w:cs="Calibri" w:eastAsia="Calibri" w:hAnsi="Calibri"/>
          <w:color w:val="595959"/>
          <w:sz w:val="18"/>
          <w:szCs w:val="18"/>
        </w:rPr>
        <w:t xml:space="preserve">7.2  Three suggested questions for the client</w:t>
      </w:r>
    </w:p>
    <w:p>
      <w:pPr>
        <w:spacing w:after="20" w:line="252"/>
        <w:ind w:left="520"/>
      </w:pPr>
      <w:r>
        <w:rPr>
          <w:rFonts w:ascii="Calibri" w:cs="Calibri" w:eastAsia="Calibri" w:hAnsi="Calibri"/>
          <w:color w:val="595959"/>
          <w:sz w:val="18"/>
          <w:szCs w:val="18"/>
        </w:rPr>
        <w:t xml:space="preserve">7.3  Lines of enquiry that can be closed</w:t>
      </w:r>
    </w:p>
    <w:p>
      <w:pPr>
        <w:spacing w:after="40" w:before="160"/>
      </w:pPr>
      <w:r>
        <w:rPr>
          <w:rFonts w:ascii="Calibri" w:cs="Calibri" w:eastAsia="Calibri" w:hAnsi="Calibri"/>
          <w:b/>
          <w:bCs/>
          <w:color w:val="1F3864"/>
          <w:sz w:val="21"/>
          <w:szCs w:val="21"/>
        </w:rPr>
        <w:t xml:space="preserve">8.  </w:t>
      </w:r>
      <w:r>
        <w:rPr>
          <w:rFonts w:ascii="Calibri" w:cs="Calibri" w:eastAsia="Calibri" w:hAnsi="Calibri"/>
          <w:b/>
          <w:bCs/>
          <w:color w:val="1F3864"/>
          <w:sz w:val="21"/>
          <w:szCs w:val="21"/>
        </w:rPr>
        <w:t xml:space="preserve">Sources</w:t>
      </w:r>
    </w:p>
    <w:p>
      <w:pPr>
        <w:spacing w:after="20" w:line="252"/>
        <w:ind w:left="520"/>
      </w:pPr>
      <w:r>
        <w:rPr>
          <w:rFonts w:ascii="Calibri" w:cs="Calibri" w:eastAsia="Calibri" w:hAnsi="Calibri"/>
          <w:color w:val="595959"/>
          <w:sz w:val="18"/>
          <w:szCs w:val="18"/>
        </w:rPr>
        <w:t xml:space="preserve">8.1  Primary sources</w:t>
      </w:r>
    </w:p>
    <w:p>
      <w:pPr>
        <w:spacing w:after="20" w:line="252"/>
        <w:ind w:left="520"/>
      </w:pPr>
      <w:r>
        <w:rPr>
          <w:rFonts w:ascii="Calibri" w:cs="Calibri" w:eastAsia="Calibri" w:hAnsi="Calibri"/>
          <w:color w:val="595959"/>
          <w:sz w:val="18"/>
          <w:szCs w:val="18"/>
        </w:rPr>
        <w:t xml:space="preserve">8.2  Company statements</w:t>
      </w:r>
    </w:p>
    <w:p>
      <w:pPr>
        <w:spacing w:after="20" w:line="252"/>
        <w:ind w:left="520"/>
      </w:pPr>
      <w:r>
        <w:rPr>
          <w:rFonts w:ascii="Calibri" w:cs="Calibri" w:eastAsia="Calibri" w:hAnsi="Calibri"/>
          <w:color w:val="595959"/>
          <w:sz w:val="18"/>
          <w:szCs w:val="18"/>
        </w:rPr>
        <w:t xml:space="preserve">8.3  Press and professional commentary</w:t>
      </w:r>
    </w:p>
    <w:p>
      <w:pPr>
        <w:spacing w:after="20" w:line="252"/>
        <w:ind w:left="520"/>
      </w:pPr>
      <w:r>
        <w:rPr>
          <w:rFonts w:ascii="Calibri" w:cs="Calibri" w:eastAsia="Calibri" w:hAnsi="Calibri"/>
          <w:color w:val="595959"/>
          <w:sz w:val="18"/>
          <w:szCs w:val="18"/>
        </w:rPr>
        <w:t xml:space="preserve">8.4  Matters outside the scope of this review</w:t>
      </w:r>
    </w:p>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1.  Executive Summary</w:t>
      </w:r>
    </w:p>
    <w:p>
      <w:pPr>
        <w:pStyle w:val="Heading2"/>
        <w:spacing w:after="100" w:before="240"/>
      </w:pPr>
      <w:r>
        <w:rPr>
          <w:rFonts w:ascii="Calibri" w:cs="Calibri" w:eastAsia="Calibri" w:hAnsi="Calibri"/>
          <w:b/>
          <w:bCs/>
          <w:color w:val="2E5496"/>
          <w:sz w:val="22"/>
          <w:szCs w:val="22"/>
        </w:rPr>
        <w:t xml:space="preserve">1.1  Matters requiring attention</w:t>
      </w:r>
    </w:p>
    <w:p>
      <w:pPr>
        <w:spacing w:after="110" w:line="264"/>
      </w:pPr>
      <w:r>
        <w:rPr>
          <w:rFonts w:ascii="Calibri" w:cs="Calibri" w:eastAsia="Calibri" w:hAnsi="Calibri"/>
          <w:b w:val="false"/>
          <w:bCs w:val="false"/>
          <w:i w:val="false"/>
          <w:iCs w:val="false"/>
          <w:caps w:val="false"/>
          <w:color w:val="000000"/>
          <w:sz w:val="19"/>
          <w:szCs w:val="19"/>
        </w:rPr>
        <w:t xml:space="preserve">Three facts established during this review differ from the assumptions applied in the working session. Each has a direct bearing on transaction perimeter, valuation or structuring, and should be confirmed with the deal team before materials are drafted.</w:t>
      </w:r>
    </w:p>
    <w:tbl>
      <w:tblPr>
        <w:tblW w:type="dxa" w:w="10080"/>
        <w:tblBorders>
          <w:top w:val="single" w:color="E8A33D" w:sz="4"/>
          <w:left w:val="single" w:color="E8A33D" w:sz="18"/>
          <w:bottom w:val="single" w:color="E8A33D" w:sz="4"/>
          <w:right w:val="single" w:color="E8A33D" w:sz="4"/>
          <w:insideH w:val="none" w:color="FFFFFF" w:sz="0"/>
          <w:insideV w:val="none" w:color="FFFFFF" w:sz="0"/>
        </w:tblBorders>
      </w:tblPr>
      <w:tblGrid>
        <w:gridCol w:w="10080"/>
      </w:tblGrid>
      <w:tr>
        <w:tc>
          <w:tcPr>
            <w:tcW w:type="dxa" w:w="10080"/>
            <w:shd w:fill="FDF0E6" w:color="auto" w:val="clear"/>
            <w:tcMar>
              <w:top w:type="dxa" w:w="120"/>
              <w:left w:type="dxa" w:w="180"/>
              <w:bottom w:type="dxa" w:w="120"/>
              <w:right w:type="dxa" w:w="160"/>
            </w:tcMar>
          </w:tcPr>
          <w:p>
            <w:pPr>
              <w:spacing w:after="70" w:before="40"/>
            </w:pPr>
            <w:r>
              <w:rPr>
                <w:rFonts w:ascii="Calibri" w:cs="Calibri" w:eastAsia="Calibri" w:hAnsi="Calibri"/>
                <w:b/>
                <w:bCs/>
                <w:color w:val="9C4A00"/>
                <w:sz w:val="19"/>
                <w:szCs w:val="19"/>
              </w:rPr>
              <w:t xml:space="preserve">Finding 1 — PKU Healthcare Corp. (000788.SZ) is no longer within the Ping An perimeter</w:t>
            </w:r>
          </w:p>
          <w:p>
            <w:pPr>
              <w:spacing w:after="110" w:line="264"/>
            </w:pPr>
            <w:r>
              <w:rPr>
                <w:rFonts w:ascii="Calibri" w:cs="Calibri" w:eastAsia="Calibri" w:hAnsi="Calibri"/>
                <w:b w:val="false"/>
                <w:bCs w:val="false"/>
                <w:i w:val="false"/>
                <w:iCs w:val="false"/>
                <w:caps w:val="false"/>
                <w:color w:val="000000"/>
                <w:sz w:val="18"/>
                <w:szCs w:val="18"/>
              </w:rPr>
              <w:t xml:space="preserve">In December 2024, Ping An disposed of its controlling interest in the Shenzhen-listed pharmaceutical company for a consideration of RMB 1 for the equity, plus approximately RMB 33 million for related shareholder debt. Control passed to Xinyoushi International (Hangzhou), with Mr. Xu Xiren becoming the ultimate controlling party. The listed company has since been required to remove all "PKU" branding.</w:t>
            </w:r>
          </w:p>
          <w:p>
            <w:pPr>
              <w:spacing w:after="110" w:line="264"/>
            </w:pPr>
            <w:r>
              <w:rPr>
                <w:rFonts w:ascii="Calibri" w:cs="Calibri" w:eastAsia="Calibri" w:hAnsi="Calibri"/>
                <w:b w:val="false"/>
                <w:bCs w:val="false"/>
                <w:i w:val="false"/>
                <w:iCs w:val="false"/>
                <w:caps w:val="false"/>
                <w:color w:val="000000"/>
                <w:sz w:val="18"/>
                <w:szCs w:val="18"/>
              </w:rPr>
              <w:t xml:space="preserve">PKU Healthcare Management retains only a residual financial interest of approximately 10.7%, which is pledged and has been progressively sold down since October 2025.</w:t>
            </w:r>
          </w:p>
          <w:p>
            <w:pPr>
              <w:spacing w:after="0" w:line="264"/>
            </w:pPr>
            <w:r>
              <w:rPr>
                <w:rFonts w:ascii="Calibri" w:cs="Calibri" w:eastAsia="Calibri" w:hAnsi="Calibri"/>
                <w:b w:val="false"/>
                <w:bCs w:val="false"/>
                <w:i w:val="false"/>
                <w:iCs w:val="false"/>
                <w:caps w:val="false"/>
                <w:color w:val="000000"/>
                <w:sz w:val="18"/>
                <w:szCs w:val="18"/>
              </w:rPr>
              <w:t xml:space="preserve">Implication: the 34.02% aggregate holding referenced in discussion is a pre-December 2024 figure. The listed pharmaceutical business should not be valued as part of the injection perimeter, and the A-share regulatory considerations previously identified are largely no longer applicable.</w:t>
            </w:r>
          </w:p>
        </w:tc>
      </w:tr>
    </w:tbl>
    <w:p>
      <w:pPr>
        <w:spacing w:after="120"/>
      </w:pPr>
      <w:r>
        <w:rPr>
          <w:rFonts w:ascii="Calibri" w:cs="Calibri" w:eastAsia="Calibri" w:hAnsi="Calibri"/>
          <w:b w:val="false"/>
          <w:bCs w:val="false"/>
          <w:i w:val="false"/>
          <w:iCs w:val="false"/>
          <w:caps w:val="false"/>
          <w:color w:val="000000"/>
          <w:sz w:val="20"/>
          <w:szCs w:val="20"/>
        </w:rPr>
        <w:t xml:space="preserve"/>
      </w:r>
    </w:p>
    <w:tbl>
      <w:tblPr>
        <w:tblW w:type="dxa" w:w="10080"/>
        <w:tblBorders>
          <w:top w:val="single" w:color="E8A33D" w:sz="4"/>
          <w:left w:val="single" w:color="E8A33D" w:sz="18"/>
          <w:bottom w:val="single" w:color="E8A33D" w:sz="4"/>
          <w:right w:val="single" w:color="E8A33D" w:sz="4"/>
          <w:insideH w:val="none" w:color="FFFFFF" w:sz="0"/>
          <w:insideV w:val="none" w:color="FFFFFF" w:sz="0"/>
        </w:tblBorders>
      </w:tblPr>
      <w:tblGrid>
        <w:gridCol w:w="10080"/>
      </w:tblGrid>
      <w:tr>
        <w:tc>
          <w:tcPr>
            <w:tcW w:type="dxa" w:w="10080"/>
            <w:shd w:fill="FDF0E6" w:color="auto" w:val="clear"/>
            <w:tcMar>
              <w:top w:type="dxa" w:w="120"/>
              <w:left w:type="dxa" w:w="180"/>
              <w:bottom w:type="dxa" w:w="120"/>
              <w:right w:type="dxa" w:w="160"/>
            </w:tcMar>
          </w:tcPr>
          <w:p>
            <w:pPr>
              <w:spacing w:after="70" w:before="40"/>
            </w:pPr>
            <w:r>
              <w:rPr>
                <w:rFonts w:ascii="Calibri" w:cs="Calibri" w:eastAsia="Calibri" w:hAnsi="Calibri"/>
                <w:b/>
                <w:bCs/>
                <w:color w:val="9C4A00"/>
                <w:sz w:val="19"/>
                <w:szCs w:val="19"/>
              </w:rPr>
              <w:t xml:space="preserve">Finding 2 — Peking University International Hospital is a not-for-profit medical institution</w:t>
            </w:r>
          </w:p>
          <w:p>
            <w:pPr>
              <w:spacing w:after="110" w:line="264"/>
            </w:pPr>
            <w:r>
              <w:rPr>
                <w:rFonts w:ascii="Calibri" w:cs="Calibri" w:eastAsia="Calibri" w:hAnsi="Calibri"/>
                <w:b w:val="false"/>
                <w:bCs w:val="false"/>
                <w:i w:val="false"/>
                <w:iCs w:val="false"/>
                <w:caps w:val="false"/>
                <w:color w:val="000000"/>
                <w:sz w:val="18"/>
                <w:szCs w:val="18"/>
              </w:rPr>
              <w:t xml:space="preserve">Under PRC law, a not-for-profit medical institution may not distribute profits to its sponsors, and sponsors have no right to sell the institution; surplus must be applied to the institution itself. Such an entity cannot be injected into a listed company by way of a conventional equity transfer.</w:t>
            </w:r>
          </w:p>
          <w:p>
            <w:pPr>
              <w:spacing w:after="110" w:line="264"/>
            </w:pPr>
            <w:r>
              <w:rPr>
                <w:rFonts w:ascii="Calibri" w:cs="Calibri" w:eastAsia="Calibri" w:hAnsi="Calibri"/>
                <w:b w:val="false"/>
                <w:bCs w:val="false"/>
                <w:i w:val="false"/>
                <w:iCs w:val="false"/>
                <w:caps w:val="false"/>
                <w:color w:val="000000"/>
                <w:sz w:val="18"/>
                <w:szCs w:val="18"/>
              </w:rPr>
              <w:t xml:space="preserve">Two established routes exist, both of which carry material execution risk: (i) conversion to for-profit status, which requires deregistration and re-establishment and, for a Grade IIIA hospital, provincial-level approval; or (ii) a management or entrustment arrangement under which economic benefit is extracted through management and consulting fees, with consolidation achieved on a control basis.</w:t>
            </w:r>
          </w:p>
          <w:p>
            <w:pPr>
              <w:spacing w:after="0" w:line="264"/>
            </w:pPr>
            <w:r>
              <w:rPr>
                <w:rFonts w:ascii="Calibri" w:cs="Calibri" w:eastAsia="Calibri" w:hAnsi="Calibri"/>
                <w:b w:val="false"/>
                <w:bCs w:val="false"/>
                <w:i w:val="false"/>
                <w:iCs w:val="false"/>
                <w:caps w:val="false"/>
                <w:color w:val="000000"/>
                <w:sz w:val="18"/>
                <w:szCs w:val="18"/>
              </w:rPr>
              <w:t xml:space="preserve">Implication: this is a Section 3 execution item and, in our view, one of the more credible candidates for the "innovative structure" the client has indicated it is looking for.</w:t>
            </w:r>
          </w:p>
        </w:tc>
      </w:tr>
    </w:tbl>
    <w:p>
      <w:pPr>
        <w:spacing w:after="120"/>
      </w:pPr>
      <w:r>
        <w:rPr>
          <w:rFonts w:ascii="Calibri" w:cs="Calibri" w:eastAsia="Calibri" w:hAnsi="Calibri"/>
          <w:b w:val="false"/>
          <w:bCs w:val="false"/>
          <w:i w:val="false"/>
          <w:iCs w:val="false"/>
          <w:caps w:val="false"/>
          <w:color w:val="000000"/>
          <w:sz w:val="20"/>
          <w:szCs w:val="20"/>
        </w:rPr>
        <w:t xml:space="preserve"/>
      </w:r>
    </w:p>
    <w:tbl>
      <w:tblPr>
        <w:tblW w:type="dxa" w:w="10080"/>
        <w:tblBorders>
          <w:top w:val="single" w:color="E8A33D" w:sz="4"/>
          <w:left w:val="single" w:color="E8A33D" w:sz="18"/>
          <w:bottom w:val="single" w:color="E8A33D" w:sz="4"/>
          <w:right w:val="single" w:color="E8A33D" w:sz="4"/>
          <w:insideH w:val="none" w:color="FFFFFF" w:sz="0"/>
          <w:insideV w:val="none" w:color="FFFFFF" w:sz="0"/>
        </w:tblBorders>
      </w:tblPr>
      <w:tblGrid>
        <w:gridCol w:w="10080"/>
      </w:tblGrid>
      <w:tr>
        <w:tc>
          <w:tcPr>
            <w:tcW w:type="dxa" w:w="10080"/>
            <w:shd w:fill="FDF0E6" w:color="auto" w:val="clear"/>
            <w:tcMar>
              <w:top w:type="dxa" w:w="120"/>
              <w:left w:type="dxa" w:w="180"/>
              <w:bottom w:type="dxa" w:w="120"/>
              <w:right w:type="dxa" w:w="160"/>
            </w:tcMar>
          </w:tcPr>
          <w:p>
            <w:pPr>
              <w:spacing w:after="70" w:before="40"/>
            </w:pPr>
            <w:r>
              <w:rPr>
                <w:rFonts w:ascii="Calibri" w:cs="Calibri" w:eastAsia="Calibri" w:hAnsi="Calibri"/>
                <w:b/>
                <w:bCs/>
                <w:color w:val="9C4A00"/>
                <w:sz w:val="19"/>
                <w:szCs w:val="19"/>
              </w:rPr>
              <w:t xml:space="preserve">Finding 3 — PKU Healthcare Information Technology sits outside the Group</w:t>
            </w:r>
          </w:p>
          <w:p>
            <w:pPr>
              <w:spacing w:after="0" w:line="264"/>
            </w:pPr>
            <w:r>
              <w:rPr>
                <w:rFonts w:ascii="Calibri" w:cs="Calibri" w:eastAsia="Calibri" w:hAnsi="Calibri"/>
                <w:b w:val="false"/>
                <w:bCs w:val="false"/>
                <w:i w:val="false"/>
                <w:iCs w:val="false"/>
                <w:caps w:val="false"/>
                <w:color w:val="000000"/>
                <w:sz w:val="18"/>
                <w:szCs w:val="18"/>
              </w:rPr>
              <w:t xml:space="preserve">The medical informatics business reports to Founder Information Industry Group rather than to PKU Healthcare Management, and has been renamed Beijing Yixin Shuzhi Technology. The Group's own website identifies it as a cooperation partner rather than a subsidiary. It should be excluded from the perimeter.</w:t>
            </w:r>
          </w:p>
        </w:tc>
      </w:tr>
    </w:tbl>
    <w:p>
      <w:pPr>
        <w:pStyle w:val="Heading2"/>
        <w:spacing w:after="100" w:before="240"/>
      </w:pPr>
      <w:r>
        <w:rPr>
          <w:rFonts w:ascii="Calibri" w:cs="Calibri" w:eastAsia="Calibri" w:hAnsi="Calibri"/>
          <w:b/>
          <w:bCs/>
          <w:color w:val="2E5496"/>
          <w:sz w:val="22"/>
          <w:szCs w:val="22"/>
        </w:rPr>
        <w:t xml:space="preserve">1.2  Company snapshot</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200"/>
        <w:gridCol w:w="4200"/>
        <w:gridCol w:w="2680"/>
      </w:tblGrid>
      <w:tr>
        <w:trPr>
          <w:tblHeader/>
        </w:trPr>
        <w:tc>
          <w:tcPr>
            <w:tcW w:type="dxa" w:w="3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Item</w:t>
            </w:r>
          </w:p>
        </w:tc>
        <w:tc>
          <w:tcPr>
            <w:tcW w:type="dxa" w:w="4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Detail</w:t>
            </w:r>
          </w:p>
        </w:tc>
        <w:tc>
          <w:tcPr>
            <w:tcW w:type="dxa" w:w="26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Source</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Legal name</w:t>
            </w:r>
          </w:p>
        </w:tc>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Peking University Healthcare Management Co., Ltd. ("PKU Healthcare" or the "Group")</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Life filing, Jul 2026</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Registered capital</w:t>
            </w:r>
          </w:p>
        </w:tc>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RMB 3.0 billion, fully paid up</w:t>
            </w:r>
          </w:p>
        </w:tc>
        <w:tc>
          <w:tcPr>
            <w:tcW w:type="dxa" w:w="2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Life filing, Jul 2026</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Legal representative</w:t>
            </w:r>
          </w:p>
        </w:tc>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Zhu Yougang (Chairman)</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Life filing, Jul 2026</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General manager</w:t>
            </w:r>
          </w:p>
        </w:tc>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Liu Yajuan</w:t>
            </w:r>
          </w:p>
        </w:tc>
        <w:tc>
          <w:tcPr>
            <w:tcW w:type="dxa" w:w="2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Public reporting</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Shareholder</w:t>
            </w:r>
          </w:p>
        </w:tc>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New Founder Holdings Development Co., Ltd. — 100%</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Life filing, Jul 2026</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Ping An effective interest</w:t>
            </w:r>
          </w:p>
        </w:tc>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66.507% (indirect, through New Founder)</w:t>
            </w:r>
          </w:p>
        </w:tc>
        <w:tc>
          <w:tcPr>
            <w:tcW w:type="dxa" w:w="2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Life filing, Jul 2026</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Revenue</w:t>
            </w:r>
          </w:p>
        </w:tc>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RMB 3.93 billion (9M 2024)</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media briefing, Dec 2024</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Profitability</w:t>
            </w:r>
          </w:p>
        </w:tc>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Break-even expected for FY2024</w:t>
            </w:r>
          </w:p>
        </w:tc>
        <w:tc>
          <w:tcPr>
            <w:tcW w:type="dxa" w:w="2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media briefing, Dec 2024</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Revenue CAGR since takeover</w:t>
            </w:r>
          </w:p>
        </w:tc>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10.6% p.a.</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media briefing, Dec 2024</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Medical institutions</w:t>
            </w:r>
          </w:p>
        </w:tc>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 healthcare institutions</w:t>
            </w:r>
          </w:p>
        </w:tc>
        <w:tc>
          <w:tcPr>
            <w:tcW w:type="dxa" w:w="2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media briefing, Dec 2024</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Beds</w:t>
            </w:r>
          </w:p>
        </w:tc>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In excess of 10,000</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Group website</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Employees</w:t>
            </w:r>
          </w:p>
        </w:tc>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In excess of 10,000 (period not stated)</w:t>
            </w:r>
          </w:p>
        </w:tc>
        <w:tc>
          <w:tcPr>
            <w:tcW w:type="dxa" w:w="2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Affiliate brand materials</w:t>
            </w:r>
          </w:p>
        </w:tc>
      </w:tr>
    </w:tbl>
    <w:p>
      <w:pPr>
        <w:pStyle w:val="Heading2"/>
        <w:spacing w:after="100" w:before="240"/>
      </w:pPr>
      <w:r>
        <w:rPr>
          <w:rFonts w:ascii="Calibri" w:cs="Calibri" w:eastAsia="Calibri" w:hAnsi="Calibri"/>
          <w:b/>
          <w:bCs/>
          <w:color w:val="2E5496"/>
          <w:sz w:val="22"/>
          <w:szCs w:val="22"/>
        </w:rPr>
        <w:t xml:space="preserve">1.3  Reconciliation to figures used in discussion</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2400"/>
        <w:gridCol w:w="2400"/>
        <w:gridCol w:w="2600"/>
        <w:gridCol w:w="2680"/>
      </w:tblGrid>
      <w:tr>
        <w:trPr>
          <w:tblHeader/>
        </w:trPr>
        <w:tc>
          <w:tcPr>
            <w:tcW w:type="dxa" w:w="2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Metric</w:t>
            </w:r>
          </w:p>
        </w:tc>
        <w:tc>
          <w:tcPr>
            <w:tcW w:type="dxa" w:w="2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Figure used</w:t>
            </w:r>
          </w:p>
        </w:tc>
        <w:tc>
          <w:tcPr>
            <w:tcW w:type="dxa" w:w="26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Public information</w:t>
            </w:r>
          </w:p>
        </w:tc>
        <w:tc>
          <w:tcPr>
            <w:tcW w:type="dxa" w:w="26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Comment</w:t>
            </w:r>
          </w:p>
        </w:tc>
      </w:tr>
      <w:tr>
        <w:tc>
          <w:tcPr>
            <w:tcW w:type="dxa" w:w="2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Healthcare revenue</w:t>
            </w:r>
          </w:p>
        </w:tc>
        <w:tc>
          <w:tcPr>
            <w:tcW w:type="dxa" w:w="2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RMB 5.5bn (2024)</w:t>
            </w:r>
          </w:p>
        </w:tc>
        <w:tc>
          <w:tcPr>
            <w:tcW w:type="dxa" w:w="2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9M 2024: RMB 3.93bn; FY2024 implied c. RMB 5.2–5.3bn</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Source of the RMB 5.5bn figure should be confirmed</w:t>
            </w:r>
          </w:p>
        </w:tc>
      </w:tr>
      <w:tr>
        <w:tc>
          <w:tcPr>
            <w:tcW w:type="dxa" w:w="2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Ping An Good Doctor revenue</w:t>
            </w:r>
          </w:p>
        </w:tc>
        <w:tc>
          <w:tcPr>
            <w:tcW w:type="dxa" w:w="2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"just over RMB 5bn"</w:t>
            </w:r>
          </w:p>
        </w:tc>
        <w:tc>
          <w:tcPr>
            <w:tcW w:type="dxa" w:w="2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FY2025: RMB 5.468bn (FY2024: RMB 4.808bn)</w:t>
            </w:r>
          </w:p>
        </w:tc>
        <w:tc>
          <w:tcPr>
            <w:tcW w:type="dxa" w:w="2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FY2025 results were released 24 Mar 2026 and should be used</w:t>
            </w:r>
          </w:p>
        </w:tc>
      </w:tr>
      <w:tr>
        <w:tc>
          <w:tcPr>
            <w:tcW w:type="dxa" w:w="2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Healthcare Corp. stake</w:t>
            </w:r>
          </w:p>
        </w:tc>
        <w:tc>
          <w:tcPr>
            <w:tcW w:type="dxa" w:w="2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"34"</w:t>
            </w:r>
          </w:p>
        </w:tc>
        <w:tc>
          <w:tcPr>
            <w:tcW w:type="dxa" w:w="2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34.02% was the pre-Dec 2024 aggregate</w:t>
            </w:r>
          </w:p>
        </w:tc>
        <w:tc>
          <w:tcPr>
            <w:tcW w:type="dxa" w:w="2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No longer applicable — see Finding 1</w:t>
            </w:r>
          </w:p>
        </w:tc>
      </w:tr>
    </w:tbl>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2.  Business Overview</w:t>
      </w:r>
    </w:p>
    <w:p>
      <w:pPr>
        <w:pStyle w:val="Heading2"/>
        <w:spacing w:after="100" w:before="240"/>
      </w:pPr>
      <w:r>
        <w:rPr>
          <w:rFonts w:ascii="Calibri" w:cs="Calibri" w:eastAsia="Calibri" w:hAnsi="Calibri"/>
          <w:b/>
          <w:bCs/>
          <w:color w:val="2E5496"/>
          <w:sz w:val="22"/>
          <w:szCs w:val="22"/>
        </w:rPr>
        <w:t xml:space="preserve">2.1  Strategic framework</w:t>
      </w:r>
    </w:p>
    <w:p>
      <w:pPr>
        <w:spacing w:after="110" w:line="264"/>
      </w:pPr>
      <w:r>
        <w:rPr>
          <w:rFonts w:ascii="Calibri" w:cs="Calibri" w:eastAsia="Calibri" w:hAnsi="Calibri"/>
          <w:b w:val="false"/>
          <w:bCs w:val="false"/>
          <w:i w:val="false"/>
          <w:iCs w:val="false"/>
          <w:caps w:val="false"/>
          <w:color w:val="000000"/>
          <w:sz w:val="19"/>
          <w:szCs w:val="19"/>
        </w:rPr>
        <w:t xml:space="preserve">At the December 2024 investor and media briefing, management articulated a three-line strategy — medical services, health management, and rehabilitation and care — supported by coverage across all population segments, the full life cycle and all care settings, and focused on three priorities: international medical services, continuity of care, and integration of insurance with healthcare delivery.</w:t>
      </w:r>
    </w:p>
    <w:p>
      <w:pPr>
        <w:spacing w:after="110" w:line="264"/>
      </w:pPr>
      <w:r>
        <w:rPr>
          <w:rFonts w:ascii="Calibri" w:cs="Calibri" w:eastAsia="Calibri" w:hAnsi="Calibri"/>
          <w:b w:val="false"/>
          <w:bCs w:val="false"/>
          <w:i w:val="false"/>
          <w:iCs w:val="false"/>
          <w:caps w:val="false"/>
          <w:color w:val="000000"/>
          <w:sz w:val="19"/>
          <w:szCs w:val="19"/>
        </w:rPr>
        <w:t xml:space="preserve">The Group is positioned as the owned offline delivery network supporting Ping An's "integrated finance plus healthcare and senior care" strategy. Management has cited specific insurance-linked initiatives including remote rehabilitation guidance for motor insurance bodily-injury claimants in conjunction with Ping An Property &amp; Casualty, and integrated corporate health management programmes with Ping An Health Insurance.</w:t>
      </w:r>
    </w:p>
    <w:p>
      <w:pPr>
        <w:pStyle w:val="Heading2"/>
        <w:spacing w:after="100" w:before="240"/>
      </w:pPr>
      <w:r>
        <w:rPr>
          <w:rFonts w:ascii="Calibri" w:cs="Calibri" w:eastAsia="Calibri" w:hAnsi="Calibri"/>
          <w:b/>
          <w:bCs/>
          <w:color w:val="2E5496"/>
          <w:sz w:val="22"/>
          <w:szCs w:val="22"/>
        </w:rPr>
        <w:t xml:space="preserve">2.2  Healthcare delivery network</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2650"/>
        <w:gridCol w:w="1750"/>
        <w:gridCol w:w="2900"/>
        <w:gridCol w:w="2780"/>
      </w:tblGrid>
      <w:tr>
        <w:trPr>
          <w:tblHeader/>
        </w:trPr>
        <w:tc>
          <w:tcPr>
            <w:tcW w:type="dxa" w:w="265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Institution</w:t>
            </w:r>
          </w:p>
        </w:tc>
        <w:tc>
          <w:tcPr>
            <w:tcW w:type="dxa" w:w="175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Type</w:t>
            </w:r>
          </w:p>
        </w:tc>
        <w:tc>
          <w:tcPr>
            <w:tcW w:type="dxa" w:w="29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Scale</w:t>
            </w:r>
          </w:p>
        </w:tc>
        <w:tc>
          <w:tcPr>
            <w:tcW w:type="dxa" w:w="27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Group's interest</w:t>
            </w:r>
          </w:p>
        </w:tc>
      </w:tr>
      <w:tr>
        <w:tc>
          <w:tcPr>
            <w:tcW w:type="dxa" w:w="26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Peking University International Hospital</w:t>
            </w:r>
          </w:p>
        </w:tc>
        <w:tc>
          <w:tcPr>
            <w:tcW w:type="dxa" w:w="17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General hospital (not-for-profit)</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1,800 approved beds; 440,000 sqm</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 (direct)</w:t>
            </w:r>
          </w:p>
        </w:tc>
      </w:tr>
      <w:tr>
        <w:tc>
          <w:tcPr>
            <w:tcW w:type="dxa" w:w="26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Care Luzhong Hospital (Zibo)</w:t>
            </w:r>
          </w:p>
        </w:tc>
        <w:tc>
          <w:tcPr>
            <w:tcW w:type="dxa" w:w="17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Grade IIIA general</w:t>
            </w:r>
          </w:p>
        </w:tc>
        <w:tc>
          <w:tcPr>
            <w:tcW w:type="dxa" w:w="2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1,080 open beds; 1,249 staff</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 (direct)</w:t>
            </w:r>
          </w:p>
        </w:tc>
      </w:tr>
      <w:tr>
        <w:tc>
          <w:tcPr>
            <w:tcW w:type="dxa" w:w="26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Care Zibo Hospital</w:t>
            </w:r>
          </w:p>
        </w:tc>
        <w:tc>
          <w:tcPr>
            <w:tcW w:type="dxa" w:w="17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Grade III general</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800 open beds; c. 820 staff</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61.33% (Shandong Aluminium 28.97%)</w:t>
            </w:r>
          </w:p>
        </w:tc>
      </w:tr>
      <w:tr>
        <w:tc>
          <w:tcPr>
            <w:tcW w:type="dxa" w:w="26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Care Lu'an Hospital (Changzhi)</w:t>
            </w:r>
          </w:p>
        </w:tc>
        <w:tc>
          <w:tcPr>
            <w:tcW w:type="dxa" w:w="17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General</w:t>
            </w:r>
          </w:p>
        </w:tc>
        <w:tc>
          <w:tcPr>
            <w:tcW w:type="dxa" w:w="2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Reg. capital RMB 900m (RMB 150m paid)</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60% combined (Shanxi Lu'an Mining 40%)</w:t>
            </w:r>
          </w:p>
        </w:tc>
      </w:tr>
      <w:tr>
        <w:tc>
          <w:tcPr>
            <w:tcW w:type="dxa" w:w="26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Care CNOOC Hospital (Tianjin)</w:t>
            </w:r>
          </w:p>
        </w:tc>
        <w:tc>
          <w:tcPr>
            <w:tcW w:type="dxa" w:w="17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General</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Reg. capital RMB 300m (RMB 105m paid)</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60% (CNOOC Bohai 40%)</w:t>
            </w:r>
          </w:p>
        </w:tc>
      </w:tr>
      <w:tr>
        <w:tc>
          <w:tcPr>
            <w:tcW w:type="dxa" w:w="26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Care Rehabilitation Hospital (Beijing)</w:t>
            </w:r>
          </w:p>
        </w:tc>
        <w:tc>
          <w:tcPr>
            <w:tcW w:type="dxa" w:w="17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Grade III rehabilitation</w:t>
            </w:r>
          </w:p>
        </w:tc>
        <w:tc>
          <w:tcPr>
            <w:tcW w:type="dxa" w:w="2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Held via 33.125% of the management company</w:t>
            </w:r>
          </w:p>
        </w:tc>
      </w:tr>
      <w:tr>
        <w:tc>
          <w:tcPr>
            <w:tcW w:type="dxa" w:w="26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Shenzhen Beiyi Rehabilitation Hospital</w:t>
            </w:r>
          </w:p>
        </w:tc>
        <w:tc>
          <w:tcPr>
            <w:tcW w:type="dxa" w:w="17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Rehabilitation</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Reg. capital RMB 100m (RMB 10m paid)</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 (direct)</w:t>
            </w:r>
          </w:p>
        </w:tc>
      </w:tr>
      <w:tr>
        <w:tc>
          <w:tcPr>
            <w:tcW w:type="dxa" w:w="26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Hunan Kaide Minimally Invasive Hospital (Zhuzhou, cardiovascular)</w:t>
            </w:r>
          </w:p>
        </w:tc>
        <w:tc>
          <w:tcPr>
            <w:tcW w:type="dxa" w:w="175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Specialty</w:t>
            </w:r>
          </w:p>
        </w:tc>
        <w:tc>
          <w:tcPr>
            <w:tcW w:type="dxa" w:w="2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Reg. capital RMB 33.4m</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 (direct)</w:t>
            </w:r>
          </w:p>
        </w:tc>
      </w:tr>
      <w:tr>
        <w:tc>
          <w:tcPr>
            <w:tcW w:type="dxa" w:w="26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Wu Jieping Urology Centre</w:t>
            </w:r>
          </w:p>
        </w:tc>
        <w:tc>
          <w:tcPr>
            <w:tcW w:type="dxa" w:w="175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Specialty</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Held via Beiyi Tairan</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80% (direct)</w:t>
            </w:r>
          </w:p>
        </w:tc>
      </w:tr>
    </w:tbl>
    <w:p>
      <w:pPr>
        <w:pStyle w:val="Heading2"/>
        <w:spacing w:after="100" w:before="240"/>
      </w:pPr>
      <w:r>
        <w:rPr>
          <w:rFonts w:ascii="Calibri" w:cs="Calibri" w:eastAsia="Calibri" w:hAnsi="Calibri"/>
          <w:b/>
          <w:bCs/>
          <w:color w:val="2E5496"/>
          <w:sz w:val="22"/>
          <w:szCs w:val="22"/>
        </w:rPr>
        <w:t xml:space="preserve">2.3  Health management and clinics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Yijiandian Clinic (registered capital RMB 29.8 million) — 100% held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Yijiandian Fangyuan Outpatient Department (RMB 25.0 million) — 100% held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Yijiandian Wangjing Clinic (RMB 10.0 million) — 100% held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PKU Care Health Management Centre, operating an integrated screening, treatment and rehabilitation pathway</w:t>
      </w:r>
    </w:p>
    <w:p>
      <w:pPr>
        <w:spacing w:after="110" w:line="264"/>
      </w:pPr>
      <w:r>
        <w:rPr>
          <w:rFonts w:ascii="Calibri" w:cs="Calibri" w:eastAsia="Calibri" w:hAnsi="Calibri"/>
          <w:b w:val="false"/>
          <w:bCs w:val="false"/>
          <w:i w:val="false"/>
          <w:iCs w:val="false"/>
          <w:caps w:val="false"/>
          <w:color w:val="000000"/>
          <w:sz w:val="19"/>
          <w:szCs w:val="19"/>
        </w:rPr>
        <w:t xml:space="preserve">The Yijiandian platform is positioned as a members-only health management service providing private-physician-led, whole-life-cycle care. It represents the Group's principal non-reimbursed, high-value-per-visit exposure and is the segment with the clearest fit to Ping An's high-net-worth client base.</w:t>
      </w:r>
    </w:p>
    <w:p>
      <w:pPr>
        <w:pStyle w:val="Heading2"/>
        <w:spacing w:after="100" w:before="240"/>
      </w:pPr>
      <w:r>
        <w:rPr>
          <w:rFonts w:ascii="Calibri" w:cs="Calibri" w:eastAsia="Calibri" w:hAnsi="Calibri"/>
          <w:b/>
          <w:bCs/>
          <w:color w:val="2E5496"/>
          <w:sz w:val="22"/>
          <w:szCs w:val="22"/>
        </w:rPr>
        <w:t xml:space="preserve">2.4  Rehabilitation, paediatric and special education</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PKU Care Brain Health Technology (registered capital RMB 6.7 million) — 100% held; paediatric rehabilitation focus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Shenzhen Rongning Technology — 100% held through Brain Health</w:t>
      </w:r>
    </w:p>
    <w:p>
      <w:pPr>
        <w:pStyle w:val="Heading2"/>
        <w:spacing w:after="100" w:before="240"/>
      </w:pPr>
      <w:r>
        <w:rPr>
          <w:rFonts w:ascii="Calibri" w:cs="Calibri" w:eastAsia="Calibri" w:hAnsi="Calibri"/>
          <w:b/>
          <w:bCs/>
          <w:color w:val="2E5496"/>
          <w:sz w:val="22"/>
          <w:szCs w:val="22"/>
        </w:rPr>
        <w:t xml:space="preserve">2.5  Industrial park and venture investment</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PKU Care Industrial Park Technology (registered capital RMB 434.9 million) — 100% held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PKU Care Innovation Valley Technology (RMB 10.1 million) — 100% held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PKU Care Innovation Valley — c. 220 mu site, incubating over 100 biopharmaceutical companies, with associated incubation and venture funds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Yinbei Medical Equity Investment Centre (LP) — committed RMB 1.357 billion, paid-in RMB 1.35 billion; held 73.69% by PKU Care Industrial Group Holdings and 25.79% directly</w:t>
      </w:r>
    </w:p>
    <w:p>
      <w:pPr>
        <w:pStyle w:val="Heading2"/>
        <w:spacing w:after="100" w:before="240"/>
      </w:pPr>
      <w:r>
        <w:rPr>
          <w:rFonts w:ascii="Calibri" w:cs="Calibri" w:eastAsia="Calibri" w:hAnsi="Calibri"/>
          <w:b/>
          <w:bCs/>
          <w:color w:val="2E5496"/>
          <w:sz w:val="22"/>
          <w:szCs w:val="22"/>
        </w:rPr>
        <w:t xml:space="preserve">2.6  Hospital management platforms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Beiyi Hospital Management (registered capital RMB 100 million) — 100% held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Beijing PKU Care Hospital Management (RMB 5 million) — 40% via Industrial Group Holdings and 30% directly</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PKU Care Management (Changzhi) (RMB 5 million) — 100% held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PKU Care Zibo Hospital Management Consulting (RMB 427.4 million) — held 86.13% by Beijing Yinbei Medical Equity Investment Centre</w:t>
      </w:r>
    </w:p>
    <w:p>
      <w:pPr>
        <w:pStyle w:val="Heading2"/>
        <w:spacing w:after="100" w:before="240"/>
      </w:pPr>
      <w:r>
        <w:rPr>
          <w:rFonts w:ascii="Calibri" w:cs="Calibri" w:eastAsia="Calibri" w:hAnsi="Calibri"/>
          <w:b/>
          <w:bCs/>
          <w:color w:val="2E5496"/>
          <w:sz w:val="22"/>
          <w:szCs w:val="22"/>
        </w:rPr>
        <w:t xml:space="preserve">2.7  Assets outside the perimeter</w:t>
      </w:r>
    </w:p>
    <w:p>
      <w:pPr>
        <w:spacing w:after="110" w:line="264"/>
      </w:pPr>
      <w:r>
        <w:rPr>
          <w:rFonts w:ascii="Calibri" w:cs="Calibri" w:eastAsia="Calibri" w:hAnsi="Calibri"/>
          <w:b w:val="false"/>
          <w:bCs w:val="false"/>
          <w:i w:val="false"/>
          <w:iCs w:val="false"/>
          <w:caps w:val="false"/>
          <w:color w:val="000000"/>
          <w:sz w:val="19"/>
          <w:szCs w:val="19"/>
        </w:rPr>
        <w:t xml:space="preserve">The following were identified in discussion as part of the Group but are not, on the evidence reviewed, within PKU Healthcare Management:</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300"/>
        <w:gridCol w:w="6780"/>
      </w:tblGrid>
      <w:tr>
        <w:trPr>
          <w:tblHeader/>
        </w:trPr>
        <w:tc>
          <w:tcPr>
            <w:tcW w:type="dxa" w:w="33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Business</w:t>
            </w:r>
          </w:p>
        </w:tc>
        <w:tc>
          <w:tcPr>
            <w:tcW w:type="dxa" w:w="67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Actual position</w:t>
            </w:r>
          </w:p>
        </w:tc>
      </w:tr>
      <w:tr>
        <w:tc>
          <w:tcPr>
            <w:tcW w:type="dxa" w:w="33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Healthcare Corp. (000788.SZ)</w:t>
            </w:r>
          </w:p>
        </w:tc>
        <w:tc>
          <w:tcPr>
            <w:tcW w:type="dxa" w:w="6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Control transferred to Xinyoushi International in December 2024; Ping An has exited. Residual financial interest of c. 10.7%, pledged and being sold down.</w:t>
            </w:r>
          </w:p>
        </w:tc>
      </w:tr>
      <w:tr>
        <w:tc>
          <w:tcPr>
            <w:tcW w:type="dxa" w:w="33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Healthcare Information Technology</w:t>
            </w:r>
          </w:p>
        </w:tc>
        <w:tc>
          <w:tcPr>
            <w:tcW w:type="dxa" w:w="6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Reports to Founder Information Industry Group; renamed Beijing Yixin Shuzhi Technology; described by the Group as a cooperation partner.</w:t>
            </w:r>
          </w:p>
        </w:tc>
      </w:tr>
      <w:tr>
        <w:tc>
          <w:tcPr>
            <w:tcW w:type="dxa" w:w="33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Founder Life Insurance</w:t>
            </w:r>
          </w:p>
        </w:tc>
        <w:tc>
          <w:tcPr>
            <w:tcW w:type="dxa" w:w="6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Described by the Group as a cooperation partner; controlled by New Founder Holdings.</w:t>
            </w:r>
          </w:p>
        </w:tc>
      </w:tr>
      <w:tr>
        <w:tc>
          <w:tcPr>
            <w:tcW w:type="dxa" w:w="33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PKU Pharmaceutical Co., Ltd.</w:t>
            </w:r>
          </w:p>
        </w:tc>
        <w:tc>
          <w:tcPr>
            <w:tcW w:type="dxa" w:w="6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Held 97.77% directly by New Founder Holdings; not under PKU Healthcare Management.</w:t>
            </w:r>
          </w:p>
        </w:tc>
      </w:tr>
    </w:tbl>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3.  Ownership Structure</w:t>
      </w:r>
    </w:p>
    <w:p>
      <w:pPr>
        <w:pStyle w:val="Heading2"/>
        <w:spacing w:after="100" w:before="240"/>
      </w:pPr>
      <w:r>
        <w:rPr>
          <w:rFonts w:ascii="Calibri" w:cs="Calibri" w:eastAsia="Calibri" w:hAnsi="Calibri"/>
          <w:b/>
          <w:bCs/>
          <w:color w:val="2E5496"/>
          <w:sz w:val="22"/>
          <w:szCs w:val="22"/>
        </w:rPr>
        <w:t xml:space="preserve">3.1  Upper-tier ownership</w:t>
      </w:r>
    </w:p>
    <w:p>
      <w:pPr>
        <w:spacing w:after="110" w:line="264"/>
      </w:pPr>
      <w:r>
        <w:rPr>
          <w:rFonts w:ascii="Calibri" w:cs="Calibri" w:eastAsia="Calibri" w:hAnsi="Calibri"/>
          <w:b w:val="false"/>
          <w:bCs w:val="false"/>
          <w:i w:val="false"/>
          <w:iCs w:val="false"/>
          <w:caps w:val="false"/>
          <w:color w:val="000000"/>
          <w:sz w:val="19"/>
          <w:szCs w:val="19"/>
        </w:rPr>
        <w:t xml:space="preserve">The following reflects the position disclosed by Ping An Life in its July 2026 filing of non-insurance subsidiary information. The structure is unchanged from the completion of the Founder Group restructuring in December 2022.</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4900"/>
        <w:gridCol w:w="1500"/>
        <w:gridCol w:w="3680"/>
      </w:tblGrid>
      <w:tr>
        <w:trPr>
          <w:tblHeader/>
        </w:trPr>
        <w:tc>
          <w:tcPr>
            <w:tcW w:type="dxa" w:w="49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Shareholder of New Founder Holdings</w:t>
            </w:r>
          </w:p>
        </w:tc>
        <w:tc>
          <w:tcPr>
            <w:tcW w:type="dxa" w:w="15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Interest</w:t>
            </w:r>
          </w:p>
        </w:tc>
        <w:tc>
          <w:tcPr>
            <w:tcW w:type="dxa" w:w="36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Beneficial party</w:t>
            </w:r>
          </w:p>
        </w:tc>
      </w:tr>
      <w:tr>
        <w:tc>
          <w:tcPr>
            <w:tcW w:type="dxa" w:w="49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New Founder (Beijing) Enterprise Management Development Co., Ltd.</w:t>
            </w:r>
          </w:p>
        </w:tc>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66.507%</w:t>
            </w:r>
          </w:p>
        </w:tc>
        <w:tc>
          <w:tcPr>
            <w:tcW w:type="dxa" w:w="3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Life (100% parent)</w:t>
            </w:r>
          </w:p>
        </w:tc>
      </w:tr>
      <w:tr>
        <w:tc>
          <w:tcPr>
            <w:tcW w:type="dxa" w:w="4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Zhuhai Huanxin Fangzheng Investment Partnership (LP)</w:t>
            </w:r>
          </w:p>
        </w:tc>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28.503%</w:t>
            </w:r>
          </w:p>
        </w:tc>
        <w:tc>
          <w:tcPr>
            <w:tcW w:type="dxa" w:w="3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Zhuhai Huafa Group, representing Zhuhai SASAC</w:t>
            </w:r>
          </w:p>
        </w:tc>
      </w:tr>
      <w:tr>
        <w:tc>
          <w:tcPr>
            <w:tcW w:type="dxa" w:w="49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Zhuhai Fangzheng No.2 Enterprise Management Partnership (LP)</w:t>
            </w:r>
          </w:p>
        </w:tc>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3.360%</w:t>
            </w:r>
          </w:p>
        </w:tc>
        <w:tc>
          <w:tcPr>
            <w:tcW w:type="dxa" w:w="3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Creditor share-conversion platform</w:t>
            </w:r>
          </w:p>
        </w:tc>
      </w:tr>
      <w:tr>
        <w:tc>
          <w:tcPr>
            <w:tcW w:type="dxa" w:w="4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Zhuhai Fangzheng No.1 Enterprise Management Partnership (LP)</w:t>
            </w:r>
          </w:p>
        </w:tc>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1.630%</w:t>
            </w:r>
          </w:p>
        </w:tc>
        <w:tc>
          <w:tcPr>
            <w:tcW w:type="dxa" w:w="3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Creditor share-conversion platform</w:t>
            </w:r>
          </w:p>
        </w:tc>
      </w:tr>
    </w:tbl>
    <w:p>
      <w:pPr>
        <w:spacing w:after="160" w:before="60" w:line="252"/>
      </w:pPr>
      <w:r>
        <w:rPr>
          <w:rFonts w:ascii="Calibri" w:cs="Calibri" w:eastAsia="Calibri" w:hAnsi="Calibri"/>
          <w:b w:val="false"/>
          <w:bCs w:val="false"/>
          <w:i/>
          <w:iCs/>
          <w:caps w:val="false"/>
          <w:color w:val="595959"/>
          <w:sz w:val="17"/>
          <w:szCs w:val="17"/>
        </w:rPr>
        <w:t xml:space="preserve">New Founder Holdings: registered capital RMB 7.25 billion, fully paid; legal representative Dai Wei. New Founder Holdings in turn holds 100% of PKU Healthcare Management (registered capital RMB 3.0 billion, fully paid; legal representative Zhu Yougang).</w:t>
      </w:r>
    </w:p>
    <w:p>
      <w:pPr>
        <w:pStyle w:val="Heading2"/>
        <w:spacing w:after="100" w:before="240"/>
      </w:pPr>
      <w:r>
        <w:rPr>
          <w:rFonts w:ascii="Calibri" w:cs="Calibri" w:eastAsia="Calibri" w:hAnsi="Calibri"/>
          <w:b/>
          <w:bCs/>
          <w:color w:val="2E5496"/>
          <w:sz w:val="22"/>
          <w:szCs w:val="22"/>
        </w:rPr>
        <w:t xml:space="preserve">3.2  Principal subsidiaries and holdings</w:t>
      </w:r>
    </w:p>
    <w:p>
      <w:pPr>
        <w:spacing w:after="110" w:line="264"/>
      </w:pPr>
      <w:r>
        <w:rPr>
          <w:rFonts w:ascii="Calibri" w:cs="Calibri" w:eastAsia="Calibri" w:hAnsi="Calibri"/>
          <w:b w:val="false"/>
          <w:bCs w:val="false"/>
          <w:i w:val="false"/>
          <w:iCs w:val="false"/>
          <w:caps w:val="false"/>
          <w:color w:val="000000"/>
          <w:sz w:val="19"/>
          <w:szCs w:val="19"/>
        </w:rPr>
        <w:t xml:space="preserve">Direct holdings of PKU Healthcare Management unless otherwise stated. Registered capital in RMB.</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4000"/>
        <w:gridCol w:w="1900"/>
        <w:gridCol w:w="1400"/>
        <w:gridCol w:w="2780"/>
      </w:tblGrid>
      <w:tr>
        <w:trPr>
          <w:tblHeader/>
        </w:trPr>
        <w:tc>
          <w:tcPr>
            <w:tcW w:type="dxa" w:w="40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Entity</w:t>
            </w:r>
          </w:p>
        </w:tc>
        <w:tc>
          <w:tcPr>
            <w:tcW w:type="dxa" w:w="19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Reg. capital</w:t>
            </w:r>
          </w:p>
        </w:tc>
        <w:tc>
          <w:tcPr>
            <w:tcW w:type="dxa" w:w="1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Interest</w:t>
            </w:r>
          </w:p>
        </w:tc>
        <w:tc>
          <w:tcPr>
            <w:tcW w:type="dxa" w:w="27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Notes</w:t>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Peking University International Hospital</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150m</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Not-for-profit institution</w:t>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Shandong PKU Care Luzhong Hospital</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100m</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Care Zibo Hospital</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326m (295m paid)</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61.33%</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Shandong Aluminium 28.97%; individual 9.70%</w:t>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Tianjin PKU Care CNOOC Hospital</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300m (105m paid)</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CNOOC Bohai 40%</w:t>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Shenzhen Beiyi Rehabilitation Hospital</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100m (10m paid)</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Hunan Kaide Minimally Invasive Hospital</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33.4m</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Holds 71.8% of Chaling Kaide Hospital</w:t>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Beiyi Tairan Medical Investment Management</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100m</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80%</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Holds 100% of Tairan Urology Institute</w:t>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Yijiandian Clinic</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29.8m</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Yijiandian Fangyuan Outpatient Dept.</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25m</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Yijiandian Wangjing Clinic</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10m</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Beiyi Hospital Management</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100m</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Also holds 30% of Lu'an Hospital</w:t>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Care Industrial Park Technology</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434.9m</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PKU Care Innovation Valley Technology</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10.1m</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PKU Care Brain Health Technology</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6.7m</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Yinbei Medical Equity Investment Centre (LP)</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1,357m (1,350m paid)</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25.79%</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Industrial Group Holdings holds a further 73.69%</w:t>
            </w:r>
          </w:p>
        </w:tc>
      </w:tr>
      <w:tr>
        <w:tc>
          <w:tcPr>
            <w:tcW w:type="dxa" w:w="4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Care Industrial Group Holdings Co., Ltd.</w:t>
            </w:r>
          </w:p>
        </w:tc>
        <w:tc>
          <w:tcPr>
            <w:tcW w:type="dxa" w:w="1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500m</w:t>
            </w:r>
          </w:p>
        </w:tc>
        <w:tc>
          <w:tcPr>
            <w:tcW w:type="dxa" w:w="1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2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Intermediate holding company — see below</w:t>
            </w:r>
          </w:p>
        </w:tc>
      </w:tr>
      <w:tr>
        <w:tc>
          <w:tcPr>
            <w:tcW w:type="dxa" w:w="4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Healthcare Corp. (000788.SZ)</w:t>
            </w:r>
          </w:p>
        </w:tc>
        <w:tc>
          <w:tcPr>
            <w:tcW w:type="dxa" w:w="1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Listed</w:t>
            </w:r>
          </w:p>
        </w:tc>
        <w:tc>
          <w:tcPr>
            <w:tcW w:type="dxa" w:w="1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10.7%</w:t>
            </w:r>
          </w:p>
        </w:tc>
        <w:tc>
          <w:tcPr>
            <w:tcW w:type="dxa" w:w="2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Financial interest only; pledged; being sold down</w:t>
            </w:r>
          </w:p>
        </w:tc>
      </w:tr>
    </w:tbl>
    <w:p>
      <w:pPr>
        <w:pStyle w:val="Heading3"/>
        <w:spacing w:after="80" w:before="180"/>
      </w:pPr>
      <w:r>
        <w:rPr>
          <w:rFonts w:ascii="Calibri" w:cs="Calibri" w:eastAsia="Calibri" w:hAnsi="Calibri"/>
          <w:b/>
          <w:bCs/>
          <w:color w:val="000000"/>
          <w:sz w:val="20"/>
          <w:szCs w:val="20"/>
        </w:rPr>
        <w:t xml:space="preserve">Holdings through PKU Care Industrial Group Holdings</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4400"/>
        <w:gridCol w:w="1700"/>
        <w:gridCol w:w="3980"/>
      </w:tblGrid>
      <w:tr>
        <w:trPr>
          <w:tblHeader/>
        </w:trPr>
        <w:tc>
          <w:tcPr>
            <w:tcW w:type="dxa" w:w="4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Entity</w:t>
            </w:r>
          </w:p>
        </w:tc>
        <w:tc>
          <w:tcPr>
            <w:tcW w:type="dxa" w:w="17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Interest</w:t>
            </w:r>
          </w:p>
        </w:tc>
        <w:tc>
          <w:tcPr>
            <w:tcW w:type="dxa" w:w="39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Other shareholders</w:t>
            </w:r>
          </w:p>
        </w:tc>
      </w:tr>
      <w:tr>
        <w:tc>
          <w:tcPr>
            <w:tcW w:type="dxa" w:w="4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Founder Medical Industry Investment Management</w:t>
            </w:r>
          </w:p>
        </w:tc>
        <w:tc>
          <w:tcPr>
            <w:tcW w:type="dxa" w:w="17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100%</w:t>
            </w:r>
          </w:p>
        </w:tc>
        <w:tc>
          <w:tcPr>
            <w:tcW w:type="dxa" w:w="39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w:t>
            </w:r>
          </w:p>
        </w:tc>
      </w:tr>
      <w:tr>
        <w:tc>
          <w:tcPr>
            <w:tcW w:type="dxa" w:w="4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Care Rehabilitation Hospital Management</w:t>
            </w:r>
          </w:p>
        </w:tc>
        <w:tc>
          <w:tcPr>
            <w:tcW w:type="dxa" w:w="1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33.125%</w:t>
            </w:r>
          </w:p>
        </w:tc>
        <w:tc>
          <w:tcPr>
            <w:tcW w:type="dxa" w:w="39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Founder Hesheng Investment 31.25%; SCC Venture IV-Apes (HK) 31.25%; Beijing Ruihan 4.375%</w:t>
            </w:r>
          </w:p>
        </w:tc>
      </w:tr>
      <w:tr>
        <w:tc>
          <w:tcPr>
            <w:tcW w:type="dxa" w:w="4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Changzhi PKU Care Lu'an Hospital</w:t>
            </w:r>
          </w:p>
        </w:tc>
        <w:tc>
          <w:tcPr>
            <w:tcW w:type="dxa" w:w="17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30%</w:t>
            </w:r>
          </w:p>
        </w:tc>
        <w:tc>
          <w:tcPr>
            <w:tcW w:type="dxa" w:w="39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Beijing Beiyi Hospital Management 30%; Shanxi Lu'an Mining Group 40%</w:t>
            </w:r>
          </w:p>
        </w:tc>
      </w:tr>
      <w:tr>
        <w:tc>
          <w:tcPr>
            <w:tcW w:type="dxa" w:w="4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PKU Care Hospital Management</w:t>
            </w:r>
          </w:p>
        </w:tc>
        <w:tc>
          <w:tcPr>
            <w:tcW w:type="dxa" w:w="1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40%</w:t>
            </w:r>
          </w:p>
        </w:tc>
        <w:tc>
          <w:tcPr>
            <w:tcW w:type="dxa" w:w="39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Healthcare Management 30%; Beijing Weiming Boya 30%</w:t>
            </w:r>
          </w:p>
        </w:tc>
      </w:tr>
      <w:tr>
        <w:tc>
          <w:tcPr>
            <w:tcW w:type="dxa" w:w="4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Beijing Yinbei Medical Equity Investment Centre (LP)</w:t>
            </w:r>
          </w:p>
        </w:tc>
        <w:tc>
          <w:tcPr>
            <w:tcW w:type="dxa" w:w="17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73.69%</w:t>
            </w:r>
          </w:p>
        </w:tc>
        <w:tc>
          <w:tcPr>
            <w:tcW w:type="dxa" w:w="39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Healthcare Management 25.79%</w:t>
            </w:r>
          </w:p>
        </w:tc>
      </w:tr>
      <w:tr>
        <w:tc>
          <w:tcPr>
            <w:tcW w:type="dxa" w:w="4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Care Zibo Hospital Management Consulting</w:t>
            </w:r>
          </w:p>
        </w:tc>
        <w:tc>
          <w:tcPr>
            <w:tcW w:type="dxa" w:w="1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1.87%</w:t>
            </w:r>
          </w:p>
        </w:tc>
        <w:tc>
          <w:tcPr>
            <w:tcW w:type="dxa" w:w="39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Beijing Yinbei 86.13%; Beiyi Fangji Hospital Management 12.00%</w:t>
            </w:r>
          </w:p>
        </w:tc>
      </w:tr>
    </w:tbl>
    <w:p>
      <w:pPr>
        <w:pStyle w:val="Heading2"/>
        <w:spacing w:after="100" w:before="240"/>
      </w:pPr>
      <w:r>
        <w:rPr>
          <w:rFonts w:ascii="Calibri" w:cs="Calibri" w:eastAsia="Calibri" w:hAnsi="Calibri"/>
          <w:b/>
          <w:bCs/>
          <w:color w:val="2E5496"/>
          <w:sz w:val="22"/>
          <w:szCs w:val="22"/>
        </w:rPr>
        <w:t xml:space="preserve">3.3  Observations</w:t>
      </w:r>
    </w:p>
    <w:p>
      <w:pPr>
        <w:pStyle w:val="ListParagraph"/>
        <w:numPr>
          <w:ilvl w:val="0"/>
          <w:numId w:val="2"/>
        </w:numPr>
        <w:spacing w:after="60" w:line="264"/>
      </w:pPr>
      <w:r>
        <w:rPr>
          <w:rFonts w:ascii="Calibri" w:cs="Calibri" w:eastAsia="Calibri" w:hAnsi="Calibri"/>
          <w:b/>
          <w:bCs/>
          <w:i w:val="false"/>
          <w:iCs w:val="false"/>
          <w:caps w:val="false"/>
          <w:color w:val="000000"/>
          <w:sz w:val="19"/>
          <w:szCs w:val="19"/>
        </w:rPr>
        <w:t xml:space="preserve">Multiple state-owned minority shareholders. </w:t>
      </w:r>
      <w:r>
        <w:rPr>
          <w:rFonts w:ascii="Calibri" w:cs="Calibri" w:eastAsia="Calibri" w:hAnsi="Calibri"/>
          <w:b w:val="false"/>
          <w:bCs w:val="false"/>
          <w:i w:val="false"/>
          <w:iCs w:val="false"/>
          <w:caps w:val="false"/>
          <w:color w:val="000000"/>
          <w:sz w:val="19"/>
          <w:szCs w:val="19"/>
        </w:rPr>
        <w:t xml:space="preserve">Beyond Huafa at the holding-company level, minorities sit at asset level: Shanxi Lu'an Mining (40% of Lu'an Hospital), CNOOC Bohai (40% of CNOOC Hospital) and Shandong Aluminium (28.97% of Zibo Hospital). If the injection requires movement at hospital level, pre-emption or consent rights may be engaged, and each of these counterparties carries its own state-asset valuation and approval process.</w:t>
      </w:r>
    </w:p>
    <w:p>
      <w:pPr>
        <w:pStyle w:val="ListParagraph"/>
        <w:numPr>
          <w:ilvl w:val="0"/>
          <w:numId w:val="2"/>
        </w:numPr>
        <w:spacing w:after="60" w:line="264"/>
      </w:pPr>
      <w:r>
        <w:rPr>
          <w:rFonts w:ascii="Calibri" w:cs="Calibri" w:eastAsia="Calibri" w:hAnsi="Calibri"/>
          <w:b/>
          <w:bCs/>
          <w:i w:val="false"/>
          <w:iCs w:val="false"/>
          <w:caps w:val="false"/>
          <w:color w:val="000000"/>
          <w:sz w:val="19"/>
          <w:szCs w:val="19"/>
        </w:rPr>
        <w:t xml:space="preserve">The rehabilitation platform is not controlled. </w:t>
      </w:r>
      <w:r>
        <w:rPr>
          <w:rFonts w:ascii="Calibri" w:cs="Calibri" w:eastAsia="Calibri" w:hAnsi="Calibri"/>
          <w:b w:val="false"/>
          <w:bCs w:val="false"/>
          <w:i w:val="false"/>
          <w:iCs w:val="false"/>
          <w:caps w:val="false"/>
          <w:color w:val="000000"/>
          <w:sz w:val="19"/>
          <w:szCs w:val="19"/>
        </w:rPr>
        <w:t xml:space="preserve">PKU Care Industrial Group Holdings holds only 33.125% of PKU Care Rehabilitation Hospital Management, alongside two 31.25% holders including an offshore private equity vehicle. Any disposal of this asset requires third-party agreement.</w:t>
      </w:r>
    </w:p>
    <w:p>
      <w:pPr>
        <w:pStyle w:val="ListParagraph"/>
        <w:numPr>
          <w:ilvl w:val="0"/>
          <w:numId w:val="2"/>
        </w:numPr>
        <w:spacing w:after="60" w:line="264"/>
      </w:pPr>
      <w:r>
        <w:rPr>
          <w:rFonts w:ascii="Calibri" w:cs="Calibri" w:eastAsia="Calibri" w:hAnsi="Calibri"/>
          <w:b/>
          <w:bCs/>
          <w:i w:val="false"/>
          <w:iCs w:val="false"/>
          <w:caps w:val="false"/>
          <w:color w:val="000000"/>
          <w:sz w:val="19"/>
          <w:szCs w:val="19"/>
        </w:rPr>
        <w:t xml:space="preserve">Registered capital is not informative for valuation. </w:t>
      </w:r>
      <w:r>
        <w:rPr>
          <w:rFonts w:ascii="Calibri" w:cs="Calibri" w:eastAsia="Calibri" w:hAnsi="Calibri"/>
          <w:b w:val="false"/>
          <w:bCs w:val="false"/>
          <w:i w:val="false"/>
          <w:iCs w:val="false"/>
          <w:caps w:val="false"/>
          <w:color w:val="000000"/>
          <w:sz w:val="19"/>
          <w:szCs w:val="19"/>
        </w:rPr>
        <w:t xml:space="preserve">Peking University International Hospital carries registered capital of only RMB 150 million against cumulative construction investment of RMB 4.5 billion. Registered capital should not be used as a valuation reference point.</w:t>
      </w:r>
    </w:p>
    <w:p>
      <w:pPr>
        <w:pStyle w:val="ListParagraph"/>
        <w:numPr>
          <w:ilvl w:val="0"/>
          <w:numId w:val="2"/>
        </w:numPr>
        <w:spacing w:after="60" w:line="264"/>
      </w:pPr>
      <w:r>
        <w:rPr>
          <w:rFonts w:ascii="Calibri" w:cs="Calibri" w:eastAsia="Calibri" w:hAnsi="Calibri"/>
          <w:b/>
          <w:bCs/>
          <w:i w:val="false"/>
          <w:iCs w:val="false"/>
          <w:caps w:val="false"/>
          <w:color w:val="000000"/>
          <w:sz w:val="19"/>
          <w:szCs w:val="19"/>
        </w:rPr>
        <w:t xml:space="preserve">Multi-layered holdings. </w:t>
      </w:r>
      <w:r>
        <w:rPr>
          <w:rFonts w:ascii="Calibri" w:cs="Calibri" w:eastAsia="Calibri" w:hAnsi="Calibri"/>
          <w:b w:val="false"/>
          <w:bCs w:val="false"/>
          <w:i w:val="false"/>
          <w:iCs w:val="false"/>
          <w:caps w:val="false"/>
          <w:color w:val="000000"/>
          <w:sz w:val="19"/>
          <w:szCs w:val="19"/>
        </w:rPr>
        <w:t xml:space="preserve">Several assets are held across two platforms simultaneously — Lu'an Hospital, for example, is held 30% by Industrial Group Holdings and 30% by Beiyi Hospital Management. Effective look-through interests should be calculated rather than read off any single register.</w:t>
      </w:r>
    </w:p>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4.  Financial Information</w:t>
      </w:r>
    </w:p>
    <w:p>
      <w:pPr>
        <w:pStyle w:val="Heading2"/>
        <w:spacing w:after="100" w:before="240"/>
      </w:pPr>
      <w:r>
        <w:rPr>
          <w:rFonts w:ascii="Calibri" w:cs="Calibri" w:eastAsia="Calibri" w:hAnsi="Calibri"/>
          <w:b/>
          <w:bCs/>
          <w:color w:val="2E5496"/>
          <w:sz w:val="22"/>
          <w:szCs w:val="22"/>
        </w:rPr>
        <w:t xml:space="preserve">4.1  Group level</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2700"/>
        <w:gridCol w:w="2200"/>
        <w:gridCol w:w="1500"/>
        <w:gridCol w:w="1600"/>
        <w:gridCol w:w="2080"/>
      </w:tblGrid>
      <w:tr>
        <w:trPr>
          <w:tblHeader/>
        </w:trPr>
        <w:tc>
          <w:tcPr>
            <w:tcW w:type="dxa" w:w="27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Metric</w:t>
            </w:r>
          </w:p>
        </w:tc>
        <w:tc>
          <w:tcPr>
            <w:tcW w:type="dxa" w:w="2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Figure</w:t>
            </w:r>
          </w:p>
        </w:tc>
        <w:tc>
          <w:tcPr>
            <w:tcW w:type="dxa" w:w="15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Period</w:t>
            </w:r>
          </w:p>
        </w:tc>
        <w:tc>
          <w:tcPr>
            <w:tcW w:type="dxa" w:w="16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Reliability</w:t>
            </w:r>
          </w:p>
        </w:tc>
        <w:tc>
          <w:tcPr>
            <w:tcW w:type="dxa" w:w="20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Source</w:t>
            </w:r>
          </w:p>
        </w:tc>
      </w:tr>
      <w:tr>
        <w:tc>
          <w:tcPr>
            <w:tcW w:type="dxa" w:w="27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Revenue</w:t>
            </w:r>
          </w:p>
        </w:tc>
        <w:tc>
          <w:tcPr>
            <w:tcW w:type="dxa" w:w="2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RMB 3.93bn</w:t>
            </w:r>
          </w:p>
        </w:tc>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9M 2024</w:t>
            </w:r>
          </w:p>
        </w:tc>
        <w:tc>
          <w:tcPr>
            <w:tcW w:type="dxa" w:w="1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20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briefing, Dec 2024</w:t>
            </w:r>
          </w:p>
        </w:tc>
      </w:tr>
      <w:tr>
        <w:tc>
          <w:tcPr>
            <w:tcW w:type="dxa" w:w="2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Profitability</w:t>
            </w:r>
          </w:p>
        </w:tc>
        <w:tc>
          <w:tcPr>
            <w:tcW w:type="dxa" w:w="2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Break-even expected</w:t>
            </w:r>
          </w:p>
        </w:tc>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c>
          <w:tcPr>
            <w:tcW w:type="dxa" w:w="1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Medium</w:t>
            </w:r>
          </w:p>
        </w:tc>
        <w:tc>
          <w:tcPr>
            <w:tcW w:type="dxa" w:w="20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briefing, Dec 2024</w:t>
            </w:r>
          </w:p>
        </w:tc>
      </w:tr>
      <w:tr>
        <w:tc>
          <w:tcPr>
            <w:tcW w:type="dxa" w:w="27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Revenue growth</w:t>
            </w:r>
          </w:p>
        </w:tc>
        <w:tc>
          <w:tcPr>
            <w:tcW w:type="dxa" w:w="2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10.6% p.a.</w:t>
            </w:r>
          </w:p>
        </w:tc>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Since 2022 takeover</w:t>
            </w:r>
          </w:p>
        </w:tc>
        <w:tc>
          <w:tcPr>
            <w:tcW w:type="dxa" w:w="1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20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briefing, Dec 2024</w:t>
            </w:r>
          </w:p>
        </w:tc>
      </w:tr>
      <w:tr>
        <w:tc>
          <w:tcPr>
            <w:tcW w:type="dxa" w:w="2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Non-reimbursed revenue growth</w:t>
            </w:r>
          </w:p>
        </w:tc>
        <w:tc>
          <w:tcPr>
            <w:tcW w:type="dxa" w:w="2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35%</w:t>
            </w:r>
          </w:p>
        </w:tc>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FY2025</w:t>
            </w:r>
          </w:p>
        </w:tc>
        <w:tc>
          <w:tcPr>
            <w:tcW w:type="dxa" w:w="1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20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Group open day, 2026</w:t>
            </w:r>
          </w:p>
        </w:tc>
      </w:tr>
      <w:tr>
        <w:tc>
          <w:tcPr>
            <w:tcW w:type="dxa" w:w="27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Outpatient and emergency visits</w:t>
            </w:r>
          </w:p>
        </w:tc>
        <w:tc>
          <w:tcPr>
            <w:tcW w:type="dxa" w:w="2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Over 3.2 million</w:t>
            </w:r>
          </w:p>
        </w:tc>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FY2025</w:t>
            </w:r>
          </w:p>
        </w:tc>
        <w:tc>
          <w:tcPr>
            <w:tcW w:type="dxa" w:w="1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20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Group open day, 2026</w:t>
            </w:r>
          </w:p>
        </w:tc>
      </w:tr>
      <w:tr>
        <w:tc>
          <w:tcPr>
            <w:tcW w:type="dxa" w:w="2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Grade III / IV surgical volume</w:t>
            </w:r>
          </w:p>
        </w:tc>
        <w:tc>
          <w:tcPr>
            <w:tcW w:type="dxa" w:w="2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+20% year on year</w:t>
            </w:r>
          </w:p>
        </w:tc>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FY2025</w:t>
            </w:r>
          </w:p>
        </w:tc>
        <w:tc>
          <w:tcPr>
            <w:tcW w:type="dxa" w:w="1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20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Group open day, 2026</w:t>
            </w:r>
          </w:p>
        </w:tc>
      </w:tr>
      <w:tr>
        <w:tc>
          <w:tcPr>
            <w:tcW w:type="dxa" w:w="27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Total assets</w:t>
            </w:r>
          </w:p>
        </w:tc>
        <w:tc>
          <w:tcPr>
            <w:tcW w:type="dxa" w:w="2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Over RMB 20bn</w:t>
            </w:r>
          </w:p>
        </w:tc>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Period not stated</w:t>
            </w:r>
          </w:p>
        </w:tc>
        <w:tc>
          <w:tcPr>
            <w:tcW w:type="dxa" w:w="1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Low</w:t>
            </w:r>
          </w:p>
        </w:tc>
        <w:tc>
          <w:tcPr>
            <w:tcW w:type="dxa" w:w="20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Affiliate brand materials</w:t>
            </w:r>
          </w:p>
        </w:tc>
      </w:tr>
      <w:tr>
        <w:tc>
          <w:tcPr>
            <w:tcW w:type="dxa" w:w="2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Employees</w:t>
            </w:r>
          </w:p>
        </w:tc>
        <w:tc>
          <w:tcPr>
            <w:tcW w:type="dxa" w:w="2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Over 10,000</w:t>
            </w:r>
          </w:p>
        </w:tc>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Period not stated</w:t>
            </w:r>
          </w:p>
        </w:tc>
        <w:tc>
          <w:tcPr>
            <w:tcW w:type="dxa" w:w="1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Medium</w:t>
            </w:r>
          </w:p>
        </w:tc>
        <w:tc>
          <w:tcPr>
            <w:tcW w:type="dxa" w:w="20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Affiliate brand materials</w:t>
            </w:r>
          </w:p>
        </w:tc>
      </w:tr>
    </w:tbl>
    <w:p>
      <w:pPr>
        <w:spacing w:after="140"/>
      </w:pPr>
      <w:r>
        <w:rPr>
          <w:rFonts w:ascii="Calibri" w:cs="Calibri" w:eastAsia="Calibri" w:hAnsi="Calibri"/>
          <w:b w:val="false"/>
          <w:bCs w:val="false"/>
          <w:i w:val="false"/>
          <w:iCs w:val="false"/>
          <w:caps w:val="false"/>
          <w:color w:val="000000"/>
          <w:sz w:val="20"/>
          <w:szCs w:val="20"/>
        </w:rPr>
        <w:t xml:space="preserve"/>
      </w:r>
    </w:p>
    <w:tbl>
      <w:tblPr>
        <w:tblW w:type="dxa" w:w="10080"/>
        <w:tblBorders>
          <w:top w:val="single" w:color="E8A33D" w:sz="4"/>
          <w:left w:val="single" w:color="E8A33D" w:sz="18"/>
          <w:bottom w:val="single" w:color="E8A33D" w:sz="4"/>
          <w:right w:val="single" w:color="E8A33D" w:sz="4"/>
          <w:insideH w:val="none" w:color="FFFFFF" w:sz="0"/>
          <w:insideV w:val="none" w:color="FFFFFF" w:sz="0"/>
        </w:tblBorders>
      </w:tblPr>
      <w:tblGrid>
        <w:gridCol w:w="10080"/>
      </w:tblGrid>
      <w:tr>
        <w:tc>
          <w:tcPr>
            <w:tcW w:type="dxa" w:w="10080"/>
            <w:shd w:fill="FDF0E6" w:color="auto" w:val="clear"/>
            <w:tcMar>
              <w:top w:type="dxa" w:w="120"/>
              <w:left w:type="dxa" w:w="180"/>
              <w:bottom w:type="dxa" w:w="120"/>
              <w:right w:type="dxa" w:w="160"/>
            </w:tcMar>
          </w:tcPr>
          <w:p>
            <w:pPr>
              <w:spacing w:after="70" w:before="40"/>
            </w:pPr>
            <w:r>
              <w:rPr>
                <w:rFonts w:ascii="Calibri" w:cs="Calibri" w:eastAsia="Calibri" w:hAnsi="Calibri"/>
                <w:b/>
                <w:bCs/>
                <w:color w:val="9C4A00"/>
                <w:sz w:val="19"/>
                <w:szCs w:val="19"/>
              </w:rPr>
              <w:t xml:space="preserve">Principal data gap</w:t>
            </w:r>
          </w:p>
          <w:p>
            <w:pPr>
              <w:spacing w:after="0" w:line="264"/>
            </w:pPr>
            <w:r>
              <w:rPr>
                <w:rFonts w:ascii="Calibri" w:cs="Calibri" w:eastAsia="Calibri" w:hAnsi="Calibri"/>
                <w:b w:val="false"/>
                <w:bCs w:val="false"/>
                <w:i w:val="false"/>
                <w:iCs w:val="false"/>
                <w:caps w:val="false"/>
                <w:color w:val="000000"/>
                <w:sz w:val="18"/>
                <w:szCs w:val="18"/>
              </w:rPr>
              <w:t xml:space="preserve">No absolute revenue figure has been published for FY2025. The 2026 public disclosures provide growth rates and operating statistics only. Net assets and indebtedness have never been disclosed at any point, which is the binding constraint on any book-value-based analysis, including the one-times-price-to-book threshold relevant to the state-owned minority.</w:t>
            </w:r>
          </w:p>
        </w:tc>
      </w:tr>
    </w:tbl>
    <w:p>
      <w:pPr>
        <w:pStyle w:val="Heading2"/>
        <w:spacing w:after="100" w:before="240"/>
      </w:pPr>
      <w:r>
        <w:rPr>
          <w:rFonts w:ascii="Calibri" w:cs="Calibri" w:eastAsia="Calibri" w:hAnsi="Calibri"/>
          <w:b/>
          <w:bCs/>
          <w:color w:val="2E5496"/>
          <w:sz w:val="22"/>
          <w:szCs w:val="22"/>
        </w:rPr>
        <w:t xml:space="preserve">4.2  Peking University International Hospital</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400"/>
        <w:gridCol w:w="3200"/>
        <w:gridCol w:w="3480"/>
      </w:tblGrid>
      <w:tr>
        <w:trPr>
          <w:tblHeader/>
        </w:trPr>
        <w:tc>
          <w:tcPr>
            <w:tcW w:type="dxa" w:w="3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Metric</w:t>
            </w:r>
          </w:p>
        </w:tc>
        <w:tc>
          <w:tcPr>
            <w:tcW w:type="dxa" w:w="3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Figure</w:t>
            </w:r>
          </w:p>
        </w:tc>
        <w:tc>
          <w:tcPr>
            <w:tcW w:type="dxa" w:w="34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Period / note</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Revenue</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Over RMB 2.4bn</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Profitability</w:t>
            </w:r>
          </w:p>
        </w:tc>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First-ever profit expected</w:t>
            </w:r>
          </w:p>
        </w:tc>
        <w:tc>
          <w:tcPr>
            <w:tcW w:type="dxa" w:w="3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Outpatient visits</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1.22 million (double pre-takeover level)</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Inpatient discharges</w:t>
            </w:r>
          </w:p>
        </w:tc>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Over 52,000</w:t>
            </w:r>
          </w:p>
        </w:tc>
        <w:tc>
          <w:tcPr>
            <w:tcW w:type="dxa" w:w="3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Case Mix Index</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1.06 — above the Beijing Grade IIIA average</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Approved beds</w:t>
            </w:r>
          </w:p>
        </w:tc>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1,800</w:t>
            </w:r>
          </w:p>
        </w:tc>
        <w:tc>
          <w:tcPr>
            <w:tcW w:type="dxa" w:w="3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Gross floor area</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440,000 sqm — the largest single medical building in Asia</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Cumulative construction investment</w:t>
            </w:r>
          </w:p>
        </w:tc>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RMB 4.5bn over 12 years (2003–2014)</w:t>
            </w:r>
          </w:p>
        </w:tc>
        <w:tc>
          <w:tcPr>
            <w:tcW w:type="dxa" w:w="3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New clinical techniques</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64 approved and 42 implemented, including 4 Beijing priority and 1 nationally restricted technique</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FY2025</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Direct-billing insurers</w:t>
            </w:r>
          </w:p>
        </w:tc>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42 commercial insurance companies</w:t>
            </w:r>
          </w:p>
        </w:tc>
        <w:tc>
          <w:tcPr>
            <w:tcW w:type="dxa" w:w="3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Global network access</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1,316 partner institutions via Ping An</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FY2024</w:t>
            </w:r>
          </w:p>
        </w:tc>
      </w:tr>
    </w:tbl>
    <w:p>
      <w:pPr>
        <w:spacing w:after="110" w:line="264"/>
      </w:pPr>
      <w:r>
        <w:rPr>
          <w:rFonts w:ascii="Calibri" w:cs="Calibri" w:eastAsia="Calibri" w:hAnsi="Calibri"/>
          <w:b w:val="false"/>
          <w:bCs w:val="false"/>
          <w:i w:val="false"/>
          <w:iCs w:val="false"/>
          <w:caps w:val="false"/>
          <w:color w:val="000000"/>
          <w:sz w:val="19"/>
          <w:szCs w:val="19"/>
        </w:rPr>
        <w:t xml:space="preserve">On the implied FY2024 group revenue of approximately RMB 5.2–5.3 billion, the flagship hospital represents approximately 45–46% of the Group. It is accordingly the single most important asset for valuation purposes.</w:t>
      </w:r>
    </w:p>
    <w:p>
      <w:pPr>
        <w:pStyle w:val="Heading2"/>
        <w:spacing w:after="100" w:before="240"/>
      </w:pPr>
      <w:r>
        <w:rPr>
          <w:rFonts w:ascii="Calibri" w:cs="Calibri" w:eastAsia="Calibri" w:hAnsi="Calibri"/>
          <w:b/>
          <w:bCs/>
          <w:color w:val="2E5496"/>
          <w:sz w:val="22"/>
          <w:szCs w:val="22"/>
        </w:rPr>
        <w:t xml:space="preserve">4.3  Implied procurement scale — a cross-check from listed-company disclosure</w:t>
      </w:r>
    </w:p>
    <w:p>
      <w:pPr>
        <w:spacing w:after="110" w:line="264"/>
      </w:pPr>
      <w:r>
        <w:rPr>
          <w:rFonts w:ascii="Calibri" w:cs="Calibri" w:eastAsia="Calibri" w:hAnsi="Calibri"/>
          <w:b w:val="false"/>
          <w:bCs w:val="false"/>
          <w:i w:val="false"/>
          <w:iCs w:val="false"/>
          <w:caps w:val="false"/>
          <w:color w:val="000000"/>
          <w:sz w:val="19"/>
          <w:szCs w:val="19"/>
        </w:rPr>
        <w:t xml:space="preserve">Disclosure by PKU Healthcare Corp. (000788.SZ) regarding the termination of its related-party supply arrangement provides an indirect but useful read on the scale of the flagship hospital's procurement.</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6600"/>
        <w:gridCol w:w="3480"/>
      </w:tblGrid>
      <w:tr>
        <w:trPr>
          <w:tblHeader/>
        </w:trPr>
        <w:tc>
          <w:tcPr>
            <w:tcW w:type="dxa" w:w="66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Disclosure</w:t>
            </w:r>
          </w:p>
        </w:tc>
        <w:tc>
          <w:tcPr>
            <w:tcW w:type="dxa" w:w="34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Amount</w:t>
            </w:r>
          </w:p>
        </w:tc>
      </w:tr>
      <w:tr>
        <w:tc>
          <w:tcPr>
            <w:tcW w:type="dxa" w:w="6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Exclusive supply and distribution contract for medical equipment, surgical instruments, pharmaceuticals, IVD reagents and consumables — estimated contract value</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RMB 1.2bn per annum</w:t>
            </w:r>
          </w:p>
        </w:tc>
      </w:tr>
      <w:tr>
        <w:tc>
          <w:tcPr>
            <w:tcW w:type="dxa" w:w="6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Related-party transactions actually recorded in FY2022</w:t>
            </w:r>
          </w:p>
        </w:tc>
        <w:tc>
          <w:tcPr>
            <w:tcW w:type="dxa" w:w="3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RMB 814 million (inclusive of tax)</w:t>
            </w:r>
          </w:p>
        </w:tc>
      </w:tr>
      <w:tr>
        <w:tc>
          <w:tcPr>
            <w:tcW w:type="dxa" w:w="6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Estimated FY2025 revenue reduction following termination in May 2025</w:t>
            </w:r>
          </w:p>
        </w:tc>
        <w:tc>
          <w:tcPr>
            <w:tcW w:type="dxa" w:w="34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RMB 600 million</w:t>
            </w:r>
          </w:p>
        </w:tc>
      </w:tr>
      <w:tr>
        <w:tc>
          <w:tcPr>
            <w:tcW w:type="dxa" w:w="6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Estimated annual revenue reduction from FY2026 onward</w:t>
            </w:r>
          </w:p>
        </w:tc>
        <w:tc>
          <w:tcPr>
            <w:tcW w:type="dxa" w:w="34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RMB 1.027 billion</w:t>
            </w:r>
          </w:p>
        </w:tc>
      </w:tr>
    </w:tbl>
    <w:p>
      <w:pPr>
        <w:spacing w:after="110" w:line="264"/>
      </w:pPr>
      <w:r>
        <w:rPr>
          <w:rFonts w:ascii="Calibri" w:cs="Calibri" w:eastAsia="Calibri" w:hAnsi="Calibri"/>
          <w:b w:val="false"/>
          <w:bCs w:val="false"/>
          <w:i w:val="false"/>
          <w:iCs w:val="false"/>
          <w:caps w:val="false"/>
          <w:color w:val="000000"/>
          <w:sz w:val="19"/>
          <w:szCs w:val="19"/>
        </w:rPr>
        <w:t xml:space="preserve">This implies annual pharmaceutical and consumables procurement at the flagship hospital of approximately RMB 1.0–1.2 billion, equivalent to 42–50% of its RMB 2.4 billion revenue — consistent with the typical range for a PRC general hospital. The figure serves both as a cross-check on the reported revenue and as support for a cost-optimisation synergy argument, management having previously disclosed a 2% reduction in pharmaceutical and consumables cost in 2023.</w:t>
      </w:r>
    </w:p>
    <w:p>
      <w:pPr>
        <w:pStyle w:val="Heading2"/>
        <w:spacing w:after="100" w:before="240"/>
      </w:pPr>
      <w:r>
        <w:rPr>
          <w:rFonts w:ascii="Calibri" w:cs="Calibri" w:eastAsia="Calibri" w:hAnsi="Calibri"/>
          <w:b/>
          <w:bCs/>
          <w:color w:val="2E5496"/>
          <w:sz w:val="22"/>
          <w:szCs w:val="22"/>
        </w:rPr>
        <w:t xml:space="preserve">4.4  Comparison — Ping An Healthcare and Technology (1833.HK)</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4200"/>
        <w:gridCol w:w="2900"/>
        <w:gridCol w:w="2980"/>
      </w:tblGrid>
      <w:tr>
        <w:trPr>
          <w:tblHeader/>
        </w:trPr>
        <w:tc>
          <w:tcPr>
            <w:tcW w:type="dxa" w:w="4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Metric (RMB)</w:t>
            </w:r>
          </w:p>
        </w:tc>
        <w:tc>
          <w:tcPr>
            <w:tcW w:type="dxa" w:w="29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FY2024</w:t>
            </w:r>
          </w:p>
        </w:tc>
        <w:tc>
          <w:tcPr>
            <w:tcW w:type="dxa" w:w="29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FY2025</w:t>
            </w:r>
          </w:p>
        </w:tc>
      </w:tr>
      <w:tr>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Total revenue</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4.808bn (+2.9%)</w:t>
            </w:r>
          </w:p>
        </w:tc>
        <w:tc>
          <w:tcPr>
            <w:tcW w:type="dxa" w:w="29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5.468bn (+13.7%)</w:t>
            </w:r>
          </w:p>
        </w:tc>
      </w:tr>
      <w:tr>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Profit attributable to owners</w:t>
            </w:r>
          </w:p>
        </w:tc>
        <w:tc>
          <w:tcPr>
            <w:tcW w:type="dxa" w:w="2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81m</w:t>
            </w:r>
          </w:p>
        </w:tc>
        <w:tc>
          <w:tcPr>
            <w:tcW w:type="dxa" w:w="29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380m (+366.1%)</w:t>
            </w:r>
          </w:p>
        </w:tc>
      </w:tr>
      <w:tr>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Adjusted net profit</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158m</w:t>
            </w:r>
          </w:p>
        </w:tc>
        <w:tc>
          <w:tcPr>
            <w:tcW w:type="dxa" w:w="29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414m (+161.3%)</w:t>
            </w:r>
          </w:p>
        </w:tc>
      </w:tr>
      <w:tr>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Gross profit</w:t>
            </w:r>
          </w:p>
        </w:tc>
        <w:tc>
          <w:tcPr>
            <w:tcW w:type="dxa" w:w="2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1.523bn</w:t>
            </w:r>
          </w:p>
        </w:tc>
        <w:tc>
          <w:tcPr>
            <w:tcW w:type="dxa" w:w="29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Not extracted</w:t>
            </w:r>
          </w:p>
        </w:tc>
      </w:tr>
      <w:tr>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F-end (insurance channel)</w:t>
            </w:r>
          </w:p>
        </w:tc>
        <w:tc>
          <w:tcPr>
            <w:tcW w:type="dxa" w:w="29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2.417bn (+9.6%)</w:t>
            </w:r>
          </w:p>
        </w:tc>
        <w:tc>
          <w:tcPr>
            <w:tcW w:type="dxa" w:w="29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3.296bn (+11.0%)</w:t>
            </w:r>
          </w:p>
        </w:tc>
      </w:tr>
      <w:tr>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B-end (corporate health management)</w:t>
            </w:r>
          </w:p>
        </w:tc>
        <w:tc>
          <w:tcPr>
            <w:tcW w:type="dxa" w:w="29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1.432bn (+32.7%)</w:t>
            </w:r>
          </w:p>
        </w:tc>
        <w:tc>
          <w:tcPr>
            <w:tcW w:type="dxa" w:w="29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1.306bn (+40.6%); 23.9% of revenue</w:t>
            </w:r>
          </w:p>
        </w:tc>
      </w:tr>
    </w:tbl>
    <w:p>
      <w:pPr>
        <w:spacing w:after="160" w:before="60" w:line="252"/>
      </w:pPr>
      <w:r>
        <w:rPr>
          <w:rFonts w:ascii="Calibri" w:cs="Calibri" w:eastAsia="Calibri" w:hAnsi="Calibri"/>
          <w:b w:val="false"/>
          <w:bCs w:val="false"/>
          <w:i/>
          <w:iCs/>
          <w:caps w:val="false"/>
          <w:color w:val="595959"/>
          <w:sz w:val="17"/>
          <w:szCs w:val="17"/>
        </w:rPr>
        <w:t xml:space="preserve">FY2025 results were announced on 24 March 2026. Materials should be prepared on the FY2025 basis.</w:t>
      </w:r>
    </w:p>
    <w:p>
      <w:pPr>
        <w:pStyle w:val="Heading2"/>
        <w:spacing w:after="100" w:before="240"/>
      </w:pPr>
      <w:r>
        <w:rPr>
          <w:rFonts w:ascii="Calibri" w:cs="Calibri" w:eastAsia="Calibri" w:hAnsi="Calibri"/>
          <w:b/>
          <w:bCs/>
          <w:color w:val="2E5496"/>
          <w:sz w:val="22"/>
          <w:szCs w:val="22"/>
        </w:rPr>
        <w:t xml:space="preserve">4.5  Illustrative combined position</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000"/>
        <w:gridCol w:w="2400"/>
        <w:gridCol w:w="2300"/>
        <w:gridCol w:w="2380"/>
      </w:tblGrid>
      <w:tr>
        <w:trPr>
          <w:tblHeader/>
        </w:trPr>
        <w:tc>
          <w:tcPr>
            <w:tcW w:type="dxa" w:w="30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RMB</w:t>
            </w:r>
          </w:p>
        </w:tc>
        <w:tc>
          <w:tcPr>
            <w:tcW w:type="dxa" w:w="2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PKU Healthcare</w:t>
            </w:r>
          </w:p>
        </w:tc>
        <w:tc>
          <w:tcPr>
            <w:tcW w:type="dxa" w:w="23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Ping An Good Doctor</w:t>
            </w:r>
          </w:p>
        </w:tc>
        <w:tc>
          <w:tcPr>
            <w:tcW w:type="dxa" w:w="23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Combined</w:t>
            </w:r>
          </w:p>
        </w:tc>
      </w:tr>
      <w:tr>
        <w:tc>
          <w:tcPr>
            <w:tcW w:type="dxa" w:w="3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Revenue</w:t>
            </w:r>
          </w:p>
        </w:tc>
        <w:tc>
          <w:tcPr>
            <w:tcW w:type="dxa" w:w="2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5.2–5.3bn (FY2024)</w:t>
            </w:r>
          </w:p>
        </w:tc>
        <w:tc>
          <w:tcPr>
            <w:tcW w:type="dxa" w:w="23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5.468bn (FY2025)</w:t>
            </w:r>
          </w:p>
        </w:tc>
        <w:tc>
          <w:tcPr>
            <w:tcW w:type="dxa" w:w="23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10.7bn</w:t>
            </w:r>
          </w:p>
        </w:tc>
      </w:tr>
      <w:tr>
        <w:tc>
          <w:tcPr>
            <w:tcW w:type="dxa" w:w="30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Net profit</w:t>
            </w:r>
          </w:p>
        </w:tc>
        <w:tc>
          <w:tcPr>
            <w:tcW w:type="dxa" w:w="2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nil (break-even)</w:t>
            </w:r>
          </w:p>
        </w:tc>
        <w:tc>
          <w:tcPr>
            <w:tcW w:type="dxa" w:w="23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380m</w:t>
            </w:r>
          </w:p>
        </w:tc>
        <w:tc>
          <w:tcPr>
            <w:tcW w:type="dxa" w:w="23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380m</w:t>
            </w:r>
          </w:p>
        </w:tc>
      </w:tr>
      <w:tr>
        <w:tc>
          <w:tcPr>
            <w:tcW w:type="dxa" w:w="30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Net margin</w:t>
            </w:r>
          </w:p>
        </w:tc>
        <w:tc>
          <w:tcPr>
            <w:tcW w:type="dxa" w:w="24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0%</w:t>
            </w:r>
          </w:p>
        </w:tc>
        <w:tc>
          <w:tcPr>
            <w:tcW w:type="dxa" w:w="23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6.9%</w:t>
            </w:r>
          </w:p>
        </w:tc>
        <w:tc>
          <w:tcPr>
            <w:tcW w:type="dxa" w:w="23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 3.5%</w:t>
            </w:r>
          </w:p>
        </w:tc>
      </w:tr>
    </w:tbl>
    <w:p>
      <w:pPr>
        <w:spacing w:after="110" w:line="264"/>
      </w:pPr>
      <w:r>
        <w:rPr>
          <w:rFonts w:ascii="Calibri" w:cs="Calibri" w:eastAsia="Calibri" w:hAnsi="Calibri"/>
          <w:b w:val="false"/>
          <w:bCs w:val="false"/>
          <w:i w:val="false"/>
          <w:iCs w:val="false"/>
          <w:caps w:val="false"/>
          <w:color w:val="000000"/>
          <w:sz w:val="19"/>
          <w:szCs w:val="19"/>
        </w:rPr>
        <w:t xml:space="preserve">This quantifies the dilution point raised in discussion: revenue approximately doubles while net margin approximately halves. Our recommendation is that this table be presented on its face in Section 2, immediately ahead of the earnings synergy argument. Acknowledging the dilution and then evidencing the incremental earnings case is materially more persuasive than presenting the combination without reference to it, particularly given that the client has already run this analysis internally.</w:t>
      </w:r>
    </w:p>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5.  Corporate History</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1500"/>
        <w:gridCol w:w="8580"/>
      </w:tblGrid>
      <w:tr>
        <w:trPr>
          <w:tblHeader/>
        </w:trPr>
        <w:tc>
          <w:tcPr>
            <w:tcW w:type="dxa" w:w="15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Date</w:t>
            </w:r>
          </w:p>
        </w:tc>
        <w:tc>
          <w:tcPr>
            <w:tcW w:type="dxa" w:w="85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Event</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Jan 2003</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Beijing PKU International Hospital Investment Management established with registered capital of RMB 200 million by Peking University, Founder Group and PKU Science Park. Xinan Synthetic Pharmaceutical (later PKU Healthcare Corp.) acquired in the same year.</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May 2013</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Founder Group and PKU Health Science Centre enter into a strategic cooperation agreement, granting use of the "PKU", "PKU Care" and "PKU Healthcare" brands.</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Aug 2013</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International Hospital Group renamed PKU Care Industrial Group Co., Ltd.</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Dec 2014</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Peking University International Hospital opens after 12 years and RMB 4.5 billion of investment — the largest socially funded not-for-profit hospital in the PRC. The founding president is replaced at opening.</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2015–2016</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External expansion: Luzhong Hospital joins in 2015; Zibo Hospital enters a property cooperation in 2016.</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Dec 2019</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Founder Group defaults on a RMB 2 billion bond; total liabilities subsequently reported in excess of RMB 300 billion.</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Feb 2020</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Beijing No.1 Intermediate People's Court rules that Founder Group enter restructuring.</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Apr 2021</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announces the restructuring investment agreement. Ping An Life and Huafa to take not less than 73% of New Founder in a 7:3 ratio.</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Jul 2021</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The court approves the restructuring plan covering five entities, including PKU Care Industrial Group.</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Oct 2021</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New Founder Holdings Development Co., Ltd. established in Hengqin, Zhuhai. New Founder valued at RMB 72.5 billion.</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Jan 2022</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CBIRC approves Ping An Life's RMB 48.218 billion investment in New Founder.</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Nov 2022</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Healthcare Management takes transfer of 70,328,949 shares (11.80%) in PKU Healthcare Corp. from the former PKU Care Industrial Group.</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Dec 2022</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Share registration completed: Ping An 66.507%, Huafa 28.503%, creditor platforms 4.99%. Ping An formally assumes management of the Group. Tranches D and E of the investment consideration paid, totalling c. RMB 48.8 billion.</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FY2024</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Group reaches break-even. Flagship hospital exceeds RMB 2.4 billion of revenue and turns its first profit.</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Nov 2024</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Good Doctor announces a special dividend of HK$9.70 per share, totalling HK$10.85 billion.</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Dec 2024</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exits PKU Healthcare Corp. Equity consideration of RMB 1 plus c. RMB 33 million for related debt; the listed company is required to remove "PKU" branding.</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Jan 2025</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Special dividend paid. Anxin elects scrip, taking its holding from 39.41% to 52.74% and triggering a mandatory general offer at HK$6.12 per share (a 2.86% discount to the HK$6.30 closing price on the joint announcement date), with maximum cash consideration of c. HK$6.283 billion.</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Mar 2025</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Good Doctor reports its first full-year profit for FY2024 and is consolidated into Ping An Group.</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May 2025</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The flagship hospital terminates its long-term supply contract with Beiyi Pharmaceutical, a subsidiary of PKU Healthcare Corp.</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Aug 2025</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Healthcare Corp. board approves the renaming programme.</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Oct 2025 – Jan 2026</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PKU Healthcare Management sells down 1.0756% of PKU Healthcare Corp., reducing its holding to c. 10.72%.</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Jan 2026</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 further disposal plan of up to 3% is announced, cited as being for the shareholder's own funding requirements.</w:t>
            </w:r>
          </w:p>
        </w:tc>
      </w:tr>
      <w:tr>
        <w:tc>
          <w:tcPr>
            <w:tcW w:type="dxa" w:w="15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Mar 2026</w:t>
            </w:r>
          </w:p>
        </w:tc>
        <w:tc>
          <w:tcPr>
            <w:tcW w:type="dxa" w:w="8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Good Doctor reports FY2025 revenue of RMB 5.468 billion and attributable profit of RMB 380 million.</w:t>
            </w:r>
          </w:p>
        </w:tc>
      </w:tr>
      <w:tr>
        <w:tc>
          <w:tcPr>
            <w:tcW w:type="dxa" w:w="15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Jul 2026</w:t>
            </w:r>
          </w:p>
        </w:tc>
        <w:tc>
          <w:tcPr>
            <w:tcW w:type="dxa" w:w="8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Ping An Life filing confirms the New Founder and PKU Healthcare Management ownership structures are unchanged.</w:t>
            </w:r>
          </w:p>
        </w:tc>
      </w:tr>
    </w:tbl>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6.  Transaction Considerations</w:t>
      </w:r>
    </w:p>
    <w:p>
      <w:pPr>
        <w:spacing w:after="110" w:line="264"/>
      </w:pPr>
      <w:r>
        <w:rPr>
          <w:rFonts w:ascii="Calibri" w:cs="Calibri" w:eastAsia="Calibri" w:hAnsi="Calibri"/>
          <w:b w:val="false"/>
          <w:bCs w:val="false"/>
          <w:i w:val="false"/>
          <w:iCs w:val="false"/>
          <w:caps w:val="false"/>
          <w:color w:val="000000"/>
          <w:sz w:val="19"/>
          <w:szCs w:val="19"/>
        </w:rPr>
        <w:t xml:space="preserve">Ordered by significance. The first two items were not addressed in the working session.</w:t>
      </w:r>
    </w:p>
    <w:p>
      <w:pPr>
        <w:pStyle w:val="Heading2"/>
        <w:spacing w:after="100" w:before="240"/>
      </w:pPr>
      <w:r>
        <w:rPr>
          <w:rFonts w:ascii="Calibri" w:cs="Calibri" w:eastAsia="Calibri" w:hAnsi="Calibri"/>
          <w:b/>
          <w:bCs/>
          <w:color w:val="2E5496"/>
          <w:sz w:val="22"/>
          <w:szCs w:val="22"/>
        </w:rPr>
        <w:t xml:space="preserve">6.1  Not-for-profit status of the flagship hospital</w:t>
      </w:r>
    </w:p>
    <w:p>
      <w:pPr>
        <w:spacing w:after="110" w:line="264"/>
      </w:pPr>
      <w:r>
        <w:rPr>
          <w:rFonts w:ascii="Calibri" w:cs="Calibri" w:eastAsia="Calibri" w:hAnsi="Calibri"/>
          <w:b w:val="false"/>
          <w:bCs w:val="false"/>
          <w:i w:val="false"/>
          <w:iCs w:val="false"/>
          <w:caps w:val="false"/>
          <w:color w:val="000000"/>
          <w:sz w:val="19"/>
          <w:szCs w:val="19"/>
        </w:rPr>
        <w:t xml:space="preserve">A not-for-profit medical institution does not distribute profit to its sponsors and its sponsors have no right to sell it. It cannot therefore be transferred into a listed company by conventional means. Two routes are observed in the market.</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2200"/>
        <w:gridCol w:w="4200"/>
        <w:gridCol w:w="3680"/>
      </w:tblGrid>
      <w:tr>
        <w:trPr>
          <w:tblHeader/>
        </w:trPr>
        <w:tc>
          <w:tcPr>
            <w:tcW w:type="dxa" w:w="2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Route</w:t>
            </w:r>
          </w:p>
        </w:tc>
        <w:tc>
          <w:tcPr>
            <w:tcW w:type="dxa" w:w="4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Mechanism</w:t>
            </w:r>
          </w:p>
        </w:tc>
        <w:tc>
          <w:tcPr>
            <w:tcW w:type="dxa" w:w="36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Principal difficulties</w:t>
            </w:r>
          </w:p>
        </w:tc>
      </w:tr>
      <w:tr>
        <w:tc>
          <w:tcPr>
            <w:tcW w:type="dxa" w:w="2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Conversion to for-profit</w:t>
            </w:r>
          </w:p>
        </w:tc>
        <w:tc>
          <w:tcPr>
            <w:tcW w:type="dxa" w:w="4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Internal resolution, financial audit, competent authority approval, establishment of a new company capitalised with the institution's net assets and assuming its receivables and payables, followed by deregistration of the original entity.</w:t>
            </w:r>
          </w:p>
        </w:tc>
        <w:tc>
          <w:tcPr>
            <w:tcW w:type="dxa" w:w="3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No unified national implementing rules; only certain provinces have published a path. Involves real property transfer and conversion of allocated land to granted land, together with transfer of medical personnel. Practitioner consensus is that conversion of a Grade IIIA hospital requires provincial-level approval and is very difficult.</w:t>
            </w:r>
          </w:p>
        </w:tc>
      </w:tr>
      <w:tr>
        <w:tc>
          <w:tcPr>
            <w:tcW w:type="dxa" w:w="2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Management / entrustment</w:t>
            </w:r>
          </w:p>
        </w:tc>
        <w:tc>
          <w:tcPr>
            <w:tcW w:type="dxa" w:w="4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Status is unchanged; the listed company consolidates on a control basis, with economic benefit extracted through management and consulting fees.</w:t>
            </w:r>
          </w:p>
        </w:tc>
        <w:tc>
          <w:tcPr>
            <w:tcW w:type="dxa" w:w="3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Hong Kong precedent exists. The determining questions are whether consolidation is supportable and whether the auditor will accept it.</w:t>
            </w:r>
          </w:p>
        </w:tc>
      </w:tr>
    </w:tbl>
    <w:p>
      <w:pPr>
        <w:spacing w:after="110" w:line="264"/>
      </w:pPr>
      <w:r>
        <w:rPr>
          <w:rFonts w:ascii="Calibri" w:cs="Calibri" w:eastAsia="Calibri" w:hAnsi="Calibri"/>
          <w:b w:val="false"/>
          <w:bCs w:val="false"/>
          <w:i w:val="false"/>
          <w:iCs w:val="false"/>
          <w:caps w:val="false"/>
          <w:color w:val="000000"/>
          <w:sz w:val="19"/>
          <w:szCs w:val="19"/>
        </w:rPr>
        <w:t xml:space="preserve">A layered structure is worth considering — for-profit subsidiaries (clinics, health management, rehabilitation, the industrial park) transferred by way of equity, with the not-for-profit institutions addressed through a management arrangement. This is the kind of structuring answer the client has indicated it is looking for, and represents a point of differentiation.</w:t>
      </w:r>
    </w:p>
    <w:tbl>
      <w:tblPr>
        <w:tblW w:type="dxa" w:w="10080"/>
        <w:tblBorders>
          <w:top w:val="single" w:color="2E5496" w:sz="4"/>
          <w:left w:val="single" w:color="2E5496" w:sz="18"/>
          <w:bottom w:val="single" w:color="2E5496" w:sz="4"/>
          <w:right w:val="single" w:color="2E5496" w:sz="4"/>
          <w:insideH w:val="none" w:color="FFFFFF" w:sz="0"/>
          <w:insideV w:val="none" w:color="FFFFFF" w:sz="0"/>
        </w:tblBorders>
      </w:tblPr>
      <w:tblGrid>
        <w:gridCol w:w="10080"/>
      </w:tblGrid>
      <w:tr>
        <w:tc>
          <w:tcPr>
            <w:tcW w:type="dxa" w:w="10080"/>
            <w:shd w:fill="F4F6FA" w:color="auto" w:val="clear"/>
            <w:tcMar>
              <w:top w:type="dxa" w:w="120"/>
              <w:left w:type="dxa" w:w="180"/>
              <w:bottom w:type="dxa" w:w="120"/>
              <w:right w:type="dxa" w:w="160"/>
            </w:tcMar>
          </w:tcPr>
          <w:p>
            <w:pPr>
              <w:spacing w:after="70" w:before="40"/>
            </w:pPr>
            <w:r>
              <w:rPr>
                <w:rFonts w:ascii="Calibri" w:cs="Calibri" w:eastAsia="Calibri" w:hAnsi="Calibri"/>
                <w:b/>
                <w:bCs/>
                <w:color w:val="1F3864"/>
                <w:sz w:val="19"/>
                <w:szCs w:val="19"/>
              </w:rPr>
              <w:t xml:space="preserve">Point to verify</w:t>
            </w:r>
          </w:p>
          <w:p>
            <w:pPr>
              <w:spacing w:after="0" w:line="264"/>
            </w:pPr>
            <w:r>
              <w:rPr>
                <w:rFonts w:ascii="Calibri" w:cs="Calibri" w:eastAsia="Calibri" w:hAnsi="Calibri"/>
                <w:b w:val="false"/>
                <w:bCs w:val="false"/>
                <w:i w:val="false"/>
                <w:iCs w:val="false"/>
                <w:caps w:val="false"/>
                <w:color w:val="000000"/>
                <w:sz w:val="18"/>
                <w:szCs w:val="18"/>
              </w:rPr>
              <w:t xml:space="preserve">The for-profit or not-for-profit status of Luzhong, Zibo, Lu'an and CNOOC Hospitals is not established in public sources. This determines what proportion of the asset base is affected, and is a specific, low-sensitivity question that is more likely to obtain a response than a general request for financial information.</w:t>
            </w:r>
          </w:p>
        </w:tc>
      </w:tr>
    </w:tbl>
    <w:p>
      <w:pPr>
        <w:pStyle w:val="Heading2"/>
        <w:spacing w:after="100" w:before="240"/>
      </w:pPr>
      <w:r>
        <w:rPr>
          <w:rFonts w:ascii="Calibri" w:cs="Calibri" w:eastAsia="Calibri" w:hAnsi="Calibri"/>
          <w:b/>
          <w:bCs/>
          <w:color w:val="2E5496"/>
          <w:sz w:val="22"/>
          <w:szCs w:val="22"/>
        </w:rPr>
        <w:t xml:space="preserve">6.2  Peking University brand licensing</w:t>
      </w:r>
    </w:p>
    <w:p>
      <w:pPr>
        <w:spacing w:after="110" w:line="264"/>
      </w:pPr>
      <w:r>
        <w:rPr>
          <w:rFonts w:ascii="Calibri" w:cs="Calibri" w:eastAsia="Calibri" w:hAnsi="Calibri"/>
          <w:b w:val="false"/>
          <w:bCs w:val="false"/>
          <w:i w:val="false"/>
          <w:iCs w:val="false"/>
          <w:caps w:val="false"/>
          <w:color w:val="000000"/>
          <w:sz w:val="19"/>
          <w:szCs w:val="19"/>
        </w:rPr>
        <w:t xml:space="preserve">In connection with the December 2024 disposal of the listed pharmaceutical business, Peking University required that the company and its subsidiaries cease to use "PKU", "PKU Healthcare", "Beiyi" or similar designations. The renaming programme was initiated in August 2025.</w:t>
      </w:r>
    </w:p>
    <w:p>
      <w:pPr>
        <w:spacing w:after="110" w:line="264"/>
      </w:pPr>
      <w:r>
        <w:rPr>
          <w:rFonts w:ascii="Calibri" w:cs="Calibri" w:eastAsia="Calibri" w:hAnsi="Calibri"/>
          <w:b w:val="false"/>
          <w:bCs w:val="false"/>
          <w:i w:val="false"/>
          <w:iCs w:val="false"/>
          <w:caps w:val="false"/>
          <w:color w:val="000000"/>
          <w:sz w:val="19"/>
          <w:szCs w:val="19"/>
        </w:rPr>
        <w:t xml:space="preserve">The implication is that the "PKU" brand is not an owned asset of the Group. It is a licence granted by Peking University under the 2013 strategic cooperation agreement and is capable of being withdrawn.</w:t>
      </w:r>
    </w:p>
    <w:p>
      <w:pPr>
        <w:spacing w:after="110" w:line="264"/>
      </w:pPr>
      <w:r>
        <w:rPr>
          <w:rFonts w:ascii="Calibri" w:cs="Calibri" w:eastAsia="Calibri" w:hAnsi="Calibri"/>
          <w:b w:val="false"/>
          <w:bCs w:val="false"/>
          <w:i w:val="false"/>
          <w:iCs w:val="false"/>
          <w:caps w:val="false"/>
          <w:color w:val="000000"/>
          <w:sz w:val="19"/>
          <w:szCs w:val="19"/>
        </w:rPr>
        <w:t xml:space="preserve">This matters for valuation. The Group's brand premium, and the academic and clinical support of the PKU Health Science Centre — approximately two thirds of the flagship hospital's physicians are drawn from other PKU-affiliated hospitals — rest on that relationship. Whether Peking University will continue to license the brand following a change in the control chain, and on what terms, is a diligence question that must be raised. The precedent of the listed pharmaceutical business indicates that the university does exercise these rights.</w:t>
      </w:r>
    </w:p>
    <w:p>
      <w:pPr>
        <w:spacing w:after="110" w:line="264"/>
      </w:pPr>
      <w:r>
        <w:rPr>
          <w:rFonts w:ascii="Calibri" w:cs="Calibri" w:eastAsia="Calibri" w:hAnsi="Calibri"/>
          <w:b w:val="false"/>
          <w:bCs w:val="false"/>
          <w:i w:val="false"/>
          <w:iCs w:val="false"/>
          <w:caps w:val="false"/>
          <w:color w:val="000000"/>
          <w:sz w:val="19"/>
          <w:szCs w:val="19"/>
        </w:rPr>
        <w:t xml:space="preserve">In our view this consideration bears on transaction feasibility at least as directly as valuation does, and warrants its own treatment in Section 3.</w:t>
      </w:r>
    </w:p>
    <w:p>
      <w:pPr>
        <w:pStyle w:val="Heading2"/>
        <w:spacing w:after="100" w:before="240"/>
      </w:pPr>
      <w:r>
        <w:rPr>
          <w:rFonts w:ascii="Calibri" w:cs="Calibri" w:eastAsia="Calibri" w:hAnsi="Calibri"/>
          <w:b/>
          <w:bCs/>
          <w:color w:val="2E5496"/>
          <w:sz w:val="22"/>
          <w:szCs w:val="22"/>
        </w:rPr>
        <w:t xml:space="preserve">6.3  State-owned minority shareholders</w:t>
      </w:r>
    </w:p>
    <w:p>
      <w:pPr>
        <w:spacing w:after="110" w:line="264"/>
      </w:pPr>
      <w:r>
        <w:rPr>
          <w:rFonts w:ascii="Calibri" w:cs="Calibri" w:eastAsia="Calibri" w:hAnsi="Calibri"/>
          <w:b w:val="false"/>
          <w:bCs w:val="false"/>
          <w:i w:val="false"/>
          <w:iCs w:val="false"/>
          <w:caps w:val="false"/>
          <w:color w:val="000000"/>
          <w:sz w:val="19"/>
          <w:szCs w:val="19"/>
        </w:rPr>
        <w:t xml:space="preserve">Discussion has focused on Zhuhai Huafa. Three further state-linked minorities sit at asset level, together with two financial investors in the rehabilitation platform.</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600"/>
        <w:gridCol w:w="3200"/>
        <w:gridCol w:w="3280"/>
      </w:tblGrid>
      <w:tr>
        <w:trPr>
          <w:tblHeader/>
        </w:trPr>
        <w:tc>
          <w:tcPr>
            <w:tcW w:type="dxa" w:w="36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Shareholder</w:t>
            </w:r>
          </w:p>
        </w:tc>
        <w:tc>
          <w:tcPr>
            <w:tcW w:type="dxa" w:w="3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Interest</w:t>
            </w:r>
          </w:p>
        </w:tc>
        <w:tc>
          <w:tcPr>
            <w:tcW w:type="dxa" w:w="32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Character</w:t>
            </w:r>
          </w:p>
        </w:tc>
      </w:tr>
      <w:tr>
        <w:tc>
          <w:tcPr>
            <w:tcW w:type="dxa" w:w="36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Shanxi Lu'an Mining Group</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40% of Lu'an Hospital</w:t>
            </w:r>
          </w:p>
        </w:tc>
        <w:tc>
          <w:tcPr>
            <w:tcW w:type="dxa" w:w="32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Shanxi provincial SOE</w:t>
            </w:r>
          </w:p>
        </w:tc>
      </w:tr>
      <w:tr>
        <w:tc>
          <w:tcPr>
            <w:tcW w:type="dxa" w:w="3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CNOOC Bohai</w:t>
            </w:r>
          </w:p>
        </w:tc>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40% of CNOOC Hospital</w:t>
            </w:r>
          </w:p>
        </w:tc>
        <w:tc>
          <w:tcPr>
            <w:tcW w:type="dxa" w:w="32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Central SOE</w:t>
            </w:r>
          </w:p>
        </w:tc>
      </w:tr>
      <w:tr>
        <w:tc>
          <w:tcPr>
            <w:tcW w:type="dxa" w:w="36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Shandong Aluminium</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28.97% of Zibo Hospital</w:t>
            </w:r>
          </w:p>
        </w:tc>
        <w:tc>
          <w:tcPr>
            <w:tcW w:type="dxa" w:w="32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Chinalco group</w:t>
            </w:r>
          </w:p>
        </w:tc>
      </w:tr>
      <w:tr>
        <w:tc>
          <w:tcPr>
            <w:tcW w:type="dxa" w:w="3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SCC Venture IV-Apes (HK) Limited</w:t>
            </w:r>
          </w:p>
        </w:tc>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31.25% of the rehabilitation platform</w:t>
            </w:r>
          </w:p>
        </w:tc>
        <w:tc>
          <w:tcPr>
            <w:tcW w:type="dxa" w:w="32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Offshore private equity</w:t>
            </w:r>
          </w:p>
        </w:tc>
      </w:tr>
      <w:tr>
        <w:tc>
          <w:tcPr>
            <w:tcW w:type="dxa" w:w="36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Founder Hesheng Investment</w:t>
            </w:r>
          </w:p>
        </w:tc>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31.25% of the rehabilitation platform</w:t>
            </w:r>
          </w:p>
        </w:tc>
        <w:tc>
          <w:tcPr>
            <w:tcW w:type="dxa" w:w="32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Founder Securities group</w:t>
            </w:r>
          </w:p>
        </w:tc>
      </w:tr>
    </w:tbl>
    <w:p>
      <w:pPr>
        <w:pStyle w:val="Heading2"/>
        <w:spacing w:after="100" w:before="240"/>
      </w:pPr>
      <w:r>
        <w:rPr>
          <w:rFonts w:ascii="Calibri" w:cs="Calibri" w:eastAsia="Calibri" w:hAnsi="Calibri"/>
          <w:b/>
          <w:bCs/>
          <w:color w:val="2E5496"/>
          <w:sz w:val="22"/>
          <w:szCs w:val="22"/>
        </w:rPr>
        <w:t xml:space="preserve">6.4  Pledged and declining interest in the listed pharmaceutical business</w:t>
      </w:r>
    </w:p>
    <w:p>
      <w:pPr>
        <w:spacing w:after="110" w:line="264"/>
      </w:pPr>
      <w:r>
        <w:rPr>
          <w:rFonts w:ascii="Calibri" w:cs="Calibri" w:eastAsia="Calibri" w:hAnsi="Calibri"/>
          <w:b w:val="false"/>
          <w:bCs w:val="false"/>
          <w:i w:val="false"/>
          <w:iCs w:val="false"/>
          <w:caps w:val="false"/>
          <w:color w:val="000000"/>
          <w:sz w:val="19"/>
          <w:szCs w:val="19"/>
        </w:rPr>
        <w:t xml:space="preserve">The interest held by PKU Healthcare Management in PKU Healthcare Corp. was reported as substantially pledged as at the Q1 2025 report, and has been sold down since October 2025 with the stated reason being the shareholder's own funding requirements.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The holding is encumbered and cannot be transferred cleanly.</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The stated rationale may indicate liquidity pressure at the Group level. If so, it bears on our assessment of net asset quality and cash generation, and may equally operate as a transaction driver, in that the injection would address a funding requirement.</w:t>
      </w:r>
    </w:p>
    <w:p>
      <w:pPr>
        <w:pStyle w:val="Heading2"/>
        <w:spacing w:after="100" w:before="240"/>
      </w:pPr>
      <w:r>
        <w:rPr>
          <w:rFonts w:ascii="Calibri" w:cs="Calibri" w:eastAsia="Calibri" w:hAnsi="Calibri"/>
          <w:b/>
          <w:bCs/>
          <w:color w:val="2E5496"/>
          <w:sz w:val="22"/>
          <w:szCs w:val="22"/>
        </w:rPr>
        <w:t xml:space="preserve">6.5  Items previously identified</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400"/>
        <w:gridCol w:w="6680"/>
      </w:tblGrid>
      <w:tr>
        <w:trPr>
          <w:tblHeader/>
        </w:trPr>
        <w:tc>
          <w:tcPr>
            <w:tcW w:type="dxa" w:w="3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Item</w:t>
            </w:r>
          </w:p>
        </w:tc>
        <w:tc>
          <w:tcPr>
            <w:tcW w:type="dxa" w:w="66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Position following this review</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Zhuhai Huafa 28.503%</w:t>
            </w:r>
          </w:p>
        </w:tc>
        <w:tc>
          <w:tcPr>
            <w:tcW w:type="dxa" w:w="6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Confirmed unchanged from December 2022 to July 2026.</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Creditor platforms 4.99%</w:t>
            </w:r>
          </w:p>
        </w:tc>
        <w:tc>
          <w:tcPr>
            <w:tcW w:type="dxa" w:w="6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Fangzheng No.1 at 1.63% and No.2 at 3.36%; a dispersed group, consistent with the view taken in discussion.</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Mandatory general offer</w:t>
            </w:r>
          </w:p>
        </w:tc>
        <w:tc>
          <w:tcPr>
            <w:tcW w:type="dxa" w:w="6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Confirmed. Ping An holds 52.74% through Anxin; a share issuance does not trigger an offer obligation above 50%.</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One-times price-to-book threshold</w:t>
            </w:r>
          </w:p>
        </w:tc>
        <w:tc>
          <w:tcPr>
            <w:tcW w:type="dxa" w:w="6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Cannot be assessed without target net asset data, which is not publicly available.</w:t>
            </w:r>
          </w:p>
        </w:tc>
      </w:tr>
    </w:tbl>
    <w:p>
      <w:pPr>
        <w:pStyle w:val="Heading2"/>
        <w:spacing w:after="100" w:before="240"/>
      </w:pPr>
      <w:r>
        <w:rPr>
          <w:rFonts w:ascii="Calibri" w:cs="Calibri" w:eastAsia="Calibri" w:hAnsi="Calibri"/>
          <w:b/>
          <w:bCs/>
          <w:color w:val="2E5496"/>
          <w:sz w:val="22"/>
          <w:szCs w:val="22"/>
        </w:rPr>
        <w:t xml:space="preserve">6.6  A potential precedent worth developing</w:t>
      </w:r>
    </w:p>
    <w:p>
      <w:pPr>
        <w:spacing w:after="110" w:line="264"/>
      </w:pPr>
      <w:r>
        <w:rPr>
          <w:rFonts w:ascii="Calibri" w:cs="Calibri" w:eastAsia="Calibri" w:hAnsi="Calibri"/>
          <w:b w:val="false"/>
          <w:bCs w:val="false"/>
          <w:i w:val="false"/>
          <w:iCs w:val="false"/>
          <w:caps w:val="false"/>
          <w:color w:val="000000"/>
          <w:sz w:val="19"/>
          <w:szCs w:val="19"/>
        </w:rPr>
        <w:t xml:space="preserve">Founder Technology (600601.SH) is now controlled by Zhuhai Huafa through Zhuhai Huashi Huanxin Fangke Investment Partnership, with the Zhuhai Municipal SASAC as ultimate controlling party.</w:t>
      </w:r>
    </w:p>
    <w:p>
      <w:pPr>
        <w:spacing w:after="110" w:line="264"/>
      </w:pPr>
      <w:r>
        <w:rPr>
          <w:rFonts w:ascii="Calibri" w:cs="Calibri" w:eastAsia="Calibri" w:hAnsi="Calibri"/>
          <w:b w:val="false"/>
          <w:bCs w:val="false"/>
          <w:i w:val="false"/>
          <w:iCs w:val="false"/>
          <w:caps w:val="false"/>
          <w:color w:val="000000"/>
          <w:sz w:val="19"/>
          <w:szCs w:val="19"/>
        </w:rPr>
        <w:t xml:space="preserve">If that reading is correct, Ping An and Huafa have already divided New Founder assets in practice, with Huafa taking the information technology line and Ping An retaining healthcare and financial services. On that basis, a Huafa exit from PKU Healthcare would not require negotiation from a standing start; a template for separation and pricing already exists between the parties.</w:t>
      </w:r>
    </w:p>
    <w:p>
      <w:pPr>
        <w:spacing w:after="110" w:line="264"/>
      </w:pPr>
      <w:r>
        <w:rPr>
          <w:rFonts w:ascii="Calibri" w:cs="Calibri" w:eastAsia="Calibri" w:hAnsi="Calibri"/>
          <w:b w:val="false"/>
          <w:bCs w:val="false"/>
          <w:i w:val="false"/>
          <w:iCs w:val="false"/>
          <w:caps w:val="false"/>
          <w:color w:val="000000"/>
          <w:sz w:val="19"/>
          <w:szCs w:val="19"/>
        </w:rPr>
        <w:t xml:space="preserve">The specific mechanism, pricing basis, whether a state-asset valuation was obtained and the implied price-to-book level all require verification from the Founder Technology announcement history. This work requires access to Wind or the exchange filing database and could not be completed from open web sources.</w:t>
      </w:r>
    </w:p>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7.  Information Gaps and Suggested Diligence</w:t>
      </w:r>
    </w:p>
    <w:p>
      <w:pPr>
        <w:pStyle w:val="Heading2"/>
        <w:spacing w:after="100" w:before="240"/>
      </w:pPr>
      <w:r>
        <w:rPr>
          <w:rFonts w:ascii="Calibri" w:cs="Calibri" w:eastAsia="Calibri" w:hAnsi="Calibri"/>
          <w:b/>
          <w:bCs/>
          <w:color w:val="2E5496"/>
          <w:sz w:val="22"/>
          <w:szCs w:val="22"/>
        </w:rPr>
        <w:t xml:space="preserve">7.1  Outstanding gaps</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200"/>
        <w:gridCol w:w="1300"/>
        <w:gridCol w:w="5580"/>
      </w:tblGrid>
      <w:tr>
        <w:trPr>
          <w:tblHeader/>
        </w:trPr>
        <w:tc>
          <w:tcPr>
            <w:tcW w:type="dxa" w:w="32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Gap</w:t>
            </w:r>
          </w:p>
        </w:tc>
        <w:tc>
          <w:tcPr>
            <w:tcW w:type="dxa" w:w="13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Priority</w:t>
            </w:r>
          </w:p>
        </w:tc>
        <w:tc>
          <w:tcPr>
            <w:tcW w:type="dxa" w:w="55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Possible route</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FY2025 group revenue in absolute terms</w:t>
            </w:r>
          </w:p>
        </w:tc>
        <w:tc>
          <w:tcPr>
            <w:tcW w:type="dxa" w:w="13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5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The 2026 disclosures give growth rates only. Consider the healthcare and senior care segment disclosure in the Ping An Group annual report, and investor day materials.</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Group net assets and indebtedness</w:t>
            </w:r>
          </w:p>
        </w:tc>
        <w:tc>
          <w:tcPr>
            <w:tcW w:type="dxa" w:w="13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5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Determines the price-to-book assessment. No realistic public route; must be requested.</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For-profit / not-for-profit status by institution</w:t>
            </w:r>
          </w:p>
        </w:tc>
        <w:tc>
          <w:tcPr>
            <w:tcW w:type="dxa" w:w="13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High</w:t>
            </w:r>
          </w:p>
        </w:tc>
        <w:tc>
          <w:tcPr>
            <w:tcW w:type="dxa" w:w="5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Provincial health commission licensing registers; corporate registry records.</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EBITDA and depreciation and amortisation</w:t>
            </w:r>
          </w:p>
        </w:tc>
        <w:tc>
          <w:tcPr>
            <w:tcW w:type="dxa" w:w="13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Medium</w:t>
            </w:r>
          </w:p>
        </w:tc>
        <w:tc>
          <w:tcPr>
            <w:tcW w:type="dxa" w:w="5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No public source; must be requested.</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Ping An Good Doctor FY2025 cash breakdown (restricted vs unrestricted)</w:t>
            </w:r>
          </w:p>
        </w:tc>
        <w:tc>
          <w:tcPr>
            <w:tcW w:type="dxa" w:w="13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Medium</w:t>
            </w:r>
          </w:p>
        </w:tc>
        <w:tc>
          <w:tcPr>
            <w:tcW w:type="dxa" w:w="5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Disclosed in the notes to the FY2025 annual report issued 24 March 2026 — recommend extracting directly from the report rather than relying on secondary reporting.</w:t>
            </w:r>
          </w:p>
        </w:tc>
      </w:tr>
      <w:tr>
        <w:tc>
          <w:tcPr>
            <w:tcW w:type="dxa" w:w="32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Founder Technology transfer pricing detail</w:t>
            </w:r>
          </w:p>
        </w:tc>
        <w:tc>
          <w:tcPr>
            <w:tcW w:type="dxa" w:w="13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Medium</w:t>
            </w:r>
          </w:p>
        </w:tc>
        <w:tc>
          <w:tcPr>
            <w:tcW w:type="dxa" w:w="55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SSE announcements; Wind.</w:t>
            </w:r>
          </w:p>
        </w:tc>
      </w:tr>
      <w:tr>
        <w:tc>
          <w:tcPr>
            <w:tcW w:type="dxa" w:w="32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Peking University brand licence terms</w:t>
            </w:r>
          </w:p>
        </w:tc>
        <w:tc>
          <w:tcPr>
            <w:tcW w:type="dxa" w:w="13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Medium</w:t>
            </w:r>
          </w:p>
        </w:tc>
        <w:tc>
          <w:tcPr>
            <w:tcW w:type="dxa" w:w="55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The historical announcements of PKU Healthcare Corp. may provide indications, that company having recently dealt with the same issue.</w:t>
            </w:r>
          </w:p>
        </w:tc>
      </w:tr>
    </w:tbl>
    <w:p>
      <w:pPr>
        <w:pStyle w:val="Heading2"/>
        <w:spacing w:after="100" w:before="240"/>
      </w:pPr>
      <w:r>
        <w:rPr>
          <w:rFonts w:ascii="Calibri" w:cs="Calibri" w:eastAsia="Calibri" w:hAnsi="Calibri"/>
          <w:b/>
          <w:bCs/>
          <w:color w:val="2E5496"/>
          <w:sz w:val="22"/>
          <w:szCs w:val="22"/>
        </w:rPr>
        <w:t xml:space="preserve">7.2  Three suggested questions for the client</w:t>
      </w:r>
    </w:p>
    <w:p>
      <w:pPr>
        <w:spacing w:after="110" w:line="264"/>
      </w:pPr>
      <w:r>
        <w:rPr>
          <w:rFonts w:ascii="Calibri" w:cs="Calibri" w:eastAsia="Calibri" w:hAnsi="Calibri"/>
          <w:b w:val="false"/>
          <w:bCs w:val="false"/>
          <w:i w:val="false"/>
          <w:iCs w:val="false"/>
          <w:caps w:val="false"/>
          <w:color w:val="000000"/>
          <w:sz w:val="19"/>
          <w:szCs w:val="19"/>
        </w:rPr>
        <w:t xml:space="preserve">A general request for financial information is readily deferred to a non-disclosure process. The following are specific, of low sensitivity, and of high value to our analysis.</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700"/>
        <w:gridCol w:w="5600"/>
        <w:gridCol w:w="3780"/>
      </w:tblGrid>
      <w:tr>
        <w:trPr>
          <w:tblHeader/>
        </w:trPr>
        <w:tc>
          <w:tcPr>
            <w:tcW w:type="dxa" w:w="7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w:t>
            </w:r>
          </w:p>
        </w:tc>
        <w:tc>
          <w:tcPr>
            <w:tcW w:type="dxa" w:w="56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Question</w:t>
            </w:r>
          </w:p>
        </w:tc>
        <w:tc>
          <w:tcPr>
            <w:tcW w:type="dxa" w:w="37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Why it is worth asking</w:t>
            </w:r>
          </w:p>
        </w:tc>
      </w:tr>
      <w:tr>
        <w:tc>
          <w:tcPr>
            <w:tcW w:type="dxa" w:w="7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1</w:t>
            </w:r>
          </w:p>
        </w:tc>
        <w:tc>
          <w:tcPr>
            <w:tcW w:type="dxa" w:w="5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Of the Group's medical institutions, what proportion are for-profit and what proportion are not-for-profit?</w:t>
            </w:r>
          </w:p>
        </w:tc>
        <w:tc>
          <w:tcPr>
            <w:tcW w:type="dxa" w:w="3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Involves no financial confidentiality, but directly determines the transaction structure.</w:t>
            </w:r>
          </w:p>
        </w:tc>
      </w:tr>
      <w:tr>
        <w:tc>
          <w:tcPr>
            <w:tcW w:type="dxa" w:w="7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2</w:t>
            </w:r>
          </w:p>
        </w:tc>
        <w:tc>
          <w:tcPr>
            <w:tcW w:type="dxa" w:w="56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How is Peking University's licensing of the "PKU" brand addressed in the event of a change in the control chain?</w:t>
            </w:r>
          </w:p>
        </w:tc>
        <w:tc>
          <w:tcPr>
            <w:tcW w:type="dxa" w:w="37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 legal rather than commercial question; the CFO's office should have a considered position.</w:t>
            </w:r>
          </w:p>
        </w:tc>
      </w:tr>
      <w:tr>
        <w:tc>
          <w:tcPr>
            <w:tcW w:type="dxa" w:w="7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3</w:t>
            </w:r>
          </w:p>
        </w:tc>
        <w:tc>
          <w:tcPr>
            <w:tcW w:type="dxa" w:w="560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What is the approximate gearing range at the PKU Healthcare Management level?</w:t>
            </w:r>
          </w:p>
        </w:tc>
        <w:tc>
          <w:tcPr>
            <w:tcW w:type="dxa" w:w="37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A range rather than a figure; materially less sensitive, and sufficient for a first-pass price-to-book assessment.</w:t>
            </w:r>
          </w:p>
        </w:tc>
      </w:tr>
    </w:tbl>
    <w:p>
      <w:pPr>
        <w:pStyle w:val="Heading2"/>
        <w:spacing w:after="100" w:before="240"/>
      </w:pPr>
      <w:r>
        <w:rPr>
          <w:rFonts w:ascii="Calibri" w:cs="Calibri" w:eastAsia="Calibri" w:hAnsi="Calibri"/>
          <w:b/>
          <w:bCs/>
          <w:color w:val="2E5496"/>
          <w:sz w:val="22"/>
          <w:szCs w:val="22"/>
        </w:rPr>
        <w:t xml:space="preserve">7.3  Lines of enquiry that can be closed</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Financial information on PKU Healthcare Corp. — no longer relevant to the perimeter following the December 2024 disposal.</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PKU Healthcare Information Technology — outside the perimeter.</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New Founder ownership — confirmed as at July 2026; no further information is expected.</w:t>
      </w:r>
    </w:p>
    <w:p>
      <w:r>
        <w:br w:type="page"/>
      </w:r>
    </w:p>
    <w:p>
      <w:pPr>
        <w:pStyle w:val="Heading1"/>
        <w:pBdr>
          <w:bottom w:val="single" w:color="1F3864" w:sz="10" w:space="6"/>
        </w:pBdr>
        <w:spacing w:after="140" w:before="320"/>
      </w:pPr>
      <w:r>
        <w:rPr>
          <w:rFonts w:ascii="Calibri" w:cs="Calibri" w:eastAsia="Calibri" w:hAnsi="Calibri"/>
          <w:b/>
          <w:bCs/>
          <w:color w:val="1F3864"/>
          <w:sz w:val="26"/>
          <w:szCs w:val="26"/>
        </w:rPr>
        <w:t xml:space="preserve">8.  Sources</w:t>
      </w:r>
    </w:p>
    <w:p>
      <w:pPr>
        <w:spacing w:after="110" w:line="264"/>
      </w:pPr>
      <w:r>
        <w:rPr>
          <w:rFonts w:ascii="Calibri" w:cs="Calibri" w:eastAsia="Calibri" w:hAnsi="Calibri"/>
          <w:b w:val="false"/>
          <w:bCs w:val="false"/>
          <w:i w:val="false"/>
          <w:iCs w:val="false"/>
          <w:caps w:val="false"/>
          <w:color w:val="000000"/>
          <w:sz w:val="19"/>
          <w:szCs w:val="19"/>
        </w:rPr>
        <w:t xml:space="preserve">All figures should be independently verified before inclusion in client-facing materials.</w:t>
      </w:r>
    </w:p>
    <w:p>
      <w:pPr>
        <w:pStyle w:val="Heading2"/>
        <w:spacing w:after="100" w:before="240"/>
      </w:pPr>
      <w:r>
        <w:rPr>
          <w:rFonts w:ascii="Calibri" w:cs="Calibri" w:eastAsia="Calibri" w:hAnsi="Calibri"/>
          <w:b/>
          <w:bCs/>
          <w:color w:val="2E5496"/>
          <w:sz w:val="22"/>
          <w:szCs w:val="22"/>
        </w:rPr>
        <w:t xml:space="preserve">8.1  Primary sources</w:t>
      </w:r>
    </w:p>
    <w:tbl>
      <w:tblPr>
        <w:tblW w:type="dxa" w:w="10080"/>
        <w:tblBorders>
          <w:top w:val="single" w:color="BFBFBF" w:sz="4"/>
          <w:left w:val="none" w:color="FFFFFF" w:sz="0"/>
          <w:bottom w:val="single" w:color="BFBFBF" w:sz="4"/>
          <w:right w:val="none" w:color="FFFFFF" w:sz="0"/>
          <w:insideH w:val="single" w:color="BFBFBF" w:sz="2"/>
          <w:insideV w:val="none" w:color="FFFFFF" w:sz="0"/>
        </w:tblBorders>
      </w:tblPr>
      <w:tblGrid>
        <w:gridCol w:w="3400"/>
        <w:gridCol w:w="6680"/>
      </w:tblGrid>
      <w:tr>
        <w:trPr>
          <w:tblHeader/>
        </w:trPr>
        <w:tc>
          <w:tcPr>
            <w:tcW w:type="dxa" w:w="340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Source</w:t>
            </w:r>
          </w:p>
        </w:tc>
        <w:tc>
          <w:tcPr>
            <w:tcW w:type="dxa" w:w="6680"/>
            <w:shd w:fill="DCE3EF"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1F3864"/>
                <w:sz w:val="17"/>
                <w:szCs w:val="17"/>
              </w:rPr>
              <w:t xml:space="preserve">Content and comment</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Ping An Life — filing of non-insurance subsidiary information, July 2026</w:t>
            </w:r>
          </w:p>
        </w:tc>
        <w:tc>
          <w:tcPr>
            <w:tcW w:type="dxa" w:w="6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Complete corporate tree, registered and paid-in capital, legal representatives and shareholding percentages. This is the most significant source identified in this review. Ping An Life is required to publish particulars of all non-insurance subsidiaries periodically, and it is the only public source from which a complete list of the Group's subsidiaries and interests can be obtained. Recommend saving to the deal folder and monitoring for updated versions.</w:t>
            </w:r>
          </w:p>
        </w:tc>
      </w:tr>
      <w:tr>
        <w:tc>
          <w:tcPr>
            <w:tcW w:type="dxa" w:w="340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PKU Healthcare Corp. (000788.SZ) — announcements and annual reports (cninfo)</w:t>
            </w:r>
          </w:p>
        </w:tc>
        <w:tc>
          <w:tcPr>
            <w:tcW w:type="dxa" w:w="6680"/>
            <w:shd w:fill="F4F6FA" w:color="auto" w:val="clear"/>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Change of control, related-party transaction amounts, disposal announcements, New Founder ownership. The value lies in the related-party disclosure as a means of inferring hospital procurement scale, rather than in group-level performance.</w:t>
            </w:r>
          </w:p>
        </w:tc>
      </w:tr>
      <w:tr>
        <w:tc>
          <w:tcPr>
            <w:tcW w:type="dxa" w:w="3400"/>
            <w:tcMar>
              <w:top w:type="dxa" w:w="60"/>
              <w:left w:type="dxa" w:w="110"/>
              <w:bottom w:type="dxa" w:w="60"/>
              <w:right w:type="dxa" w:w="110"/>
            </w:tcMar>
            <w:vAlign w:val="top"/>
          </w:tcPr>
          <w:p>
            <w:pPr>
              <w:spacing w:after="40" w:before="40" w:line="252"/>
              <w:jc w:val="left"/>
            </w:pPr>
            <w:r>
              <w:rPr>
                <w:rFonts w:ascii="Calibri" w:cs="Calibri" w:eastAsia="Calibri" w:hAnsi="Calibri"/>
                <w:b/>
                <w:bCs/>
                <w:i w:val="false"/>
                <w:iCs w:val="false"/>
                <w:caps w:val="false"/>
                <w:color w:val="000000"/>
                <w:sz w:val="17"/>
                <w:szCs w:val="17"/>
              </w:rPr>
              <w:t xml:space="preserve">Ping An Healthcare and Technology (1833.HK) — FY2024 and FY2025 results announcements</w:t>
            </w:r>
          </w:p>
        </w:tc>
        <w:tc>
          <w:tcPr>
            <w:tcW w:type="dxa" w:w="6680"/>
            <w:tcMar>
              <w:top w:type="dxa" w:w="60"/>
              <w:left w:type="dxa" w:w="110"/>
              <w:bottom w:type="dxa" w:w="60"/>
              <w:right w:type="dxa" w:w="110"/>
            </w:tcMar>
            <w:vAlign w:val="top"/>
          </w:tcPr>
          <w:p>
            <w:pPr>
              <w:spacing w:after="40" w:before="40" w:line="252"/>
              <w:jc w:val="left"/>
            </w:pPr>
            <w:r>
              <w:rPr>
                <w:rFonts w:ascii="Calibri" w:cs="Calibri" w:eastAsia="Calibri" w:hAnsi="Calibri"/>
                <w:b w:val="false"/>
                <w:bCs w:val="false"/>
                <w:i w:val="false"/>
                <w:iCs w:val="false"/>
                <w:caps w:val="false"/>
                <w:color w:val="000000"/>
                <w:sz w:val="17"/>
                <w:szCs w:val="17"/>
              </w:rPr>
              <w:t xml:space="preserve">Revenue, profit, dividend and offer particulars. FY2025 released 24 March 2026.</w:t>
            </w:r>
          </w:p>
        </w:tc>
      </w:tr>
    </w:tbl>
    <w:p>
      <w:pPr>
        <w:pStyle w:val="Heading2"/>
        <w:spacing w:after="100" w:before="240"/>
      </w:pPr>
      <w:r>
        <w:rPr>
          <w:rFonts w:ascii="Calibri" w:cs="Calibri" w:eastAsia="Calibri" w:hAnsi="Calibri"/>
          <w:b/>
          <w:bCs/>
          <w:color w:val="2E5496"/>
          <w:sz w:val="22"/>
          <w:szCs w:val="22"/>
        </w:rPr>
        <w:t xml:space="preserve">8.2  Company statements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Ping An media briefing on PKU Healthcare, 26 December 2024 — 9M 2024 revenue, break-even guidance and flagship hospital operating data. Consistently reported by Xinhua Finance, 21st Century Business Herald, Securities Times and Beijing News.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PKU Healthcare open day, 2026 — FY2025 operating metrics.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Group website (pkucare.com) — institution list and bed numbers.</w:t>
      </w:r>
    </w:p>
    <w:p>
      <w:pPr>
        <w:pStyle w:val="Heading2"/>
        <w:spacing w:after="100" w:before="240"/>
      </w:pPr>
      <w:r>
        <w:rPr>
          <w:rFonts w:ascii="Calibri" w:cs="Calibri" w:eastAsia="Calibri" w:hAnsi="Calibri"/>
          <w:b/>
          <w:bCs/>
          <w:color w:val="2E5496"/>
          <w:sz w:val="22"/>
          <w:szCs w:val="22"/>
        </w:rPr>
        <w:t xml:space="preserve">8.3  Press and professional commentary</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Caixin — early ownership and construction history of the flagship hospital.</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National Business Daily, Beijing News Bei Ke Finance, Securities Times — change of control at the listed pharmaceutical business and the renaming programme.</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Jiemian, China Fund News — New Founder ownership changes.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21st Century Business Herald — scrip dividend and mandatory general offer analysis.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Zhong Lun Law Firm and other practitioner commentary — routes for not-for-profit hospitals into listed companies.</w:t>
      </w:r>
    </w:p>
    <w:p>
      <w:pPr>
        <w:pStyle w:val="Heading2"/>
        <w:spacing w:after="100" w:before="240"/>
      </w:pPr>
      <w:r>
        <w:rPr>
          <w:rFonts w:ascii="Calibri" w:cs="Calibri" w:eastAsia="Calibri" w:hAnsi="Calibri"/>
          <w:b/>
          <w:bCs/>
          <w:color w:val="2E5496"/>
          <w:sz w:val="22"/>
          <w:szCs w:val="22"/>
        </w:rPr>
        <w:t xml:space="preserve">8.4  Matters outside the scope of this review</w:t>
      </w:r>
    </w:p>
    <w:p>
      <w:pPr>
        <w:spacing w:after="110" w:line="264"/>
      </w:pPr>
      <w:r>
        <w:rPr>
          <w:rFonts w:ascii="Calibri" w:cs="Calibri" w:eastAsia="Calibri" w:hAnsi="Calibri"/>
          <w:b w:val="false"/>
          <w:bCs w:val="false"/>
          <w:i w:val="false"/>
          <w:iCs w:val="false"/>
          <w:caps w:val="false"/>
          <w:color w:val="000000"/>
          <w:sz w:val="19"/>
          <w:szCs w:val="19"/>
        </w:rPr>
        <w:t xml:space="preserve">The following require access to internal systems or subscription data and are not addressed here:</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Trading multiples for comparable companies (EV/EBITDA, P/E, P/B) — requires Wind, Bloomberg or FactSet.</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Broker research, in particular commentary on the market's treatment of the listed vehicle's cash balance.</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Founder Technology transfer documentation.</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Ping An Good Doctor FY2025 cash breakdown — available in the annual report notes.</w:t>
      </w:r>
    </w:p>
    <w:p>
      <w:pPr>
        <w:pStyle w:val="ListParagraph"/>
        <w:numPr>
          <w:ilvl w:val="0"/>
          <w:numId w:val="2"/>
        </w:numPr>
        <w:spacing w:after="60" w:line="264"/>
      </w:pPr>
      <w:r>
        <w:rPr>
          <w:rFonts w:ascii="Calibri" w:cs="Calibri" w:eastAsia="Calibri" w:hAnsi="Calibri"/>
          <w:b w:val="false"/>
          <w:bCs w:val="false"/>
          <w:i w:val="false"/>
          <w:iCs w:val="false"/>
          <w:caps w:val="false"/>
          <w:color w:val="000000"/>
          <w:sz w:val="20"/>
          <w:szCs w:val="20"/>
        </w:rPr>
        <w:t xml:space="preserve">Internal credentials and comparable company templates.</w:t>
      </w:r>
    </w:p>
    <w:sectPr>
      <w:headerReference w:type="default" r:id="rId7"/>
      <w:footerReference w:type="default" r:id="rId8"/>
      <w:pgSz w:w="12240" w:h="15840" w:orient="portrait"/>
      <w:pgMar w:top="1080" w:right="1080" w:bottom="108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Strictly private and confidential  |  Based on public information  |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rFonts w:ascii="Calibri" w:cs="Calibri" w:eastAsia="Calibri" w:hAnsi="Calibri"/>
        <w:color w:val="595959"/>
        <w:sz w:val="15"/>
        <w:szCs w:val="15"/>
      </w:rPr>
      <w:t xml:space="preserve">Peking University Healthcare Group  |  Preliminary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Calibri" w:cs="Calibri" w:eastAsia="Calibri" w:hAnsi="Calibri"/>
        <w:sz w:val="19"/>
        <w:szCs w:val="19"/>
      </w:rPr>
    </w:lvl>
    <w:lvl w:ilvl="1" w15:tentative="1">
      <w:start w:val="1"/>
      <w:numFmt w:val="bullet"/>
      <w:lvlText w:val="–"/>
      <w:lvlJc w:val="left"/>
      <w:pPr>
        <w:ind w:left="720" w:hanging="200"/>
      </w:pPr>
      <w:rPr>
        <w:rFonts w:ascii="Calibri" w:cs="Calibri" w:eastAsia="Calibri" w:hAnsi="Calibri"/>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6"/>
      <w:szCs w:val="26"/>
    </w:rPr>
  </w:style>
  <w:style w:type="paragraph" w:styleId="Heading2">
    <w:name w:val="Heading 2"/>
    <w:basedOn w:val="Normal"/>
    <w:next w:val="Normal"/>
    <w:qFormat/>
    <w:rPr>
      <w:rFonts w:ascii="Calibri" w:cs="Calibri" w:eastAsia="Calibri" w:hAnsi="Calibri"/>
      <w:b/>
      <w:bCs/>
      <w:color w:val="2E5496"/>
      <w:sz w:val="22"/>
      <w:szCs w:val="22"/>
    </w:rPr>
  </w:style>
  <w:style w:type="paragraph" w:styleId="Heading3">
    <w:name w:val="Heading 3"/>
    <w:basedOn w:val="Normal"/>
    <w:next w:val="Normal"/>
    <w:qFormat/>
    <w:rPr>
      <w:rFonts w:ascii="Calibri" w:cs="Calibri" w:eastAsia="Calibri" w:hAnsi="Calibri"/>
      <w:b/>
      <w:bCs/>
      <w:color w:val="000000"/>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Peking University Healthcare Group — Preliminary Review</dc:title>
  <dc:creator>Preliminary Review</dc:creator>
  <dc:description>Preliminary review based on publicly available information</dc:description>
  <cp:lastModifiedBy>Un-named</cp:lastModifiedBy>
  <cp:revision>1</cp:revision>
  <dcterms:created xsi:type="dcterms:W3CDTF">2026-08-22T09:55:05.054Z</dcterms:created>
  <dcterms:modified xsi:type="dcterms:W3CDTF">2026-08-22T09:55:05.054Z</dcterms:modified>
</cp:coreProperties>
</file>

<file path=docProps/custom.xml><?xml version="1.0" encoding="utf-8"?>
<Properties xmlns="http://schemas.openxmlformats.org/officeDocument/2006/custom-properties" xmlns:vt="http://schemas.openxmlformats.org/officeDocument/2006/docPropsVTypes"/>
</file>