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DirectiveLabel"/>
        <w:spacing w:before="920"/>
        <w:jc w:val="center"/>
      </w:pPr>
      <w:r>
        <w:t>CORRECTIVE IMPLEMENTATION ORDER</w:t>
      </w:r>
    </w:p>
    <w:p>
      <w:pPr>
        <w:spacing w:before="160" w:after="100"/>
        <w:jc w:val="center"/>
      </w:pPr>
      <w:r>
        <w:rPr>
          <w:rFonts w:ascii="Calibri" w:hAnsi="Calibri"/>
          <w:b/>
          <w:color w:val="243B64"/>
          <w:sz w:val="54"/>
        </w:rPr>
        <w:t>PLC Engineering Simulator</w:t>
      </w:r>
    </w:p>
    <w:p>
      <w:pPr>
        <w:spacing w:after="160"/>
        <w:jc w:val="center"/>
      </w:pPr>
      <w:r>
        <w:rPr>
          <w:rFonts w:ascii="Calibri" w:hAnsi="Calibri"/>
          <w:b/>
          <w:color w:val="162033"/>
          <w:sz w:val="34"/>
        </w:rPr>
        <w:t>Phase 1 Corrective Addendum</w:t>
      </w:r>
    </w:p>
    <w:p>
      <w:pPr>
        <w:spacing w:after="480"/>
        <w:jc w:val="center"/>
      </w:pPr>
      <w:r>
        <w:rPr>
          <w:rFonts w:ascii="Calibri" w:hAnsi="Calibri"/>
          <w:i/>
          <w:color w:val="2F6FC2"/>
          <w:sz w:val="24"/>
        </w:rPr>
        <w:t>Closure and Trusted Baseline Gate — required before Master Prompt 2 of 4</w:t>
      </w:r>
    </w:p>
    <w:p>
      <w:pPr>
        <w:spacing w:after="160"/>
        <w:jc w:val="center"/>
      </w:pPr>
      <w:r>
        <w:rPr>
          <w:rFonts w:ascii="Calibri" w:hAnsi="Calibri"/>
          <w:b/>
          <w:color w:val="5A6470"/>
          <w:sz w:val="20"/>
        </w:rPr>
        <w:t>PROFESSIONAL  |  BRAND-NEUTRAL  |  EDUCATIONAL  |  OFFLINE</w:t>
      </w:r>
    </w:p>
    <w:p>
      <w:pPr>
        <w:spacing w:before="360" w:after="160"/>
        <w:jc w:val="center"/>
      </w:pPr>
      <w:r>
        <w:rPr>
          <w:rFonts w:ascii="Calibri" w:hAnsi="Calibri"/>
          <w:b/>
          <w:color w:val="9B1C1C"/>
          <w:sz w:val="26"/>
        </w:rPr>
        <w:t>VirtualUniverse has no adapter to PhysicalUniverse.</w:t>
      </w:r>
    </w:p>
    <w:p>
      <w:pPr>
        <w:spacing w:after="480"/>
        <w:ind w:left="792" w:right="792"/>
        <w:jc w:val="center"/>
      </w:pPr>
      <w:r>
        <w:rPr>
          <w:rFonts w:ascii="Calibri" w:hAnsi="Calibri"/>
          <w:color w:val="162033"/>
          <w:sz w:val="22"/>
        </w:rPr>
        <w:t>This order closes the defective Phase 1 evidence and repository baseline. It does not authorize PLC runtime, compiler, UI, HMI, or simulation feature development.</w:t>
      </w:r>
    </w:p>
    <w:tbl>
      <w:tblPr>
        <w:tblStyle w:val="TableGrid"/>
        <w:tblW w:type="dxa" w:w="9360"/>
        <w:jc w:val="left"/>
        <w:tblLayout w:type="fixed"/>
        <w:tblLook w:firstColumn="1" w:firstRow="1" w:lastColumn="0" w:lastRow="0" w:noHBand="0" w:noVBand="1" w:val="04A0"/>
        <w:tblInd w:w="120" w:type="dxa"/>
      </w:tblPr>
      <w:tblGrid>
        <w:gridCol w:w="2700"/>
        <w:gridCol w:w="6660"/>
      </w:tblGrid>
      <w:tr>
        <w:trPr>
          <w:cantSplit/>
        </w:trPr>
        <w:tc>
          <w:tcPr>
            <w:tcW w:type="dxa" w:w="2700"/>
            <w:shd w:fill="E8EEF5"/>
            <w:tcMar>
              <w:top w:w="80" w:type="dxa"/>
              <w:start w:w="120" w:type="dxa"/>
              <w:bottom w:w="80" w:type="dxa"/>
              <w:end w:w="120" w:type="dxa"/>
            </w:tcMar>
            <w:vAlign w:val="center"/>
          </w:tcPr>
          <w:p>
            <w:r>
              <w:rPr>
                <w:rFonts w:ascii="Calibri" w:hAnsi="Calibri"/>
                <w:b/>
                <w:color w:val="243B64"/>
              </w:rPr>
              <w:t>Classification</w:t>
            </w:r>
          </w:p>
        </w:tc>
        <w:tc>
          <w:tcPr>
            <w:tcW w:type="dxa" w:w="6660"/>
            <w:tcMar>
              <w:top w:w="80" w:type="dxa"/>
              <w:start w:w="120" w:type="dxa"/>
              <w:bottom w:w="80" w:type="dxa"/>
              <w:end w:w="120" w:type="dxa"/>
            </w:tcMar>
            <w:vAlign w:val="center"/>
          </w:tcPr>
          <w:p>
            <w:r>
              <w:rPr>
                <w:rFonts w:ascii="Calibri" w:hAnsi="Calibri"/>
                <w:color w:val="162033"/>
              </w:rPr>
              <w:t>Bounded corrective addendum to Master Implementation Prompt 1 of 4</w:t>
            </w:r>
          </w:p>
        </w:tc>
      </w:tr>
      <w:tr>
        <w:trPr>
          <w:cantSplit/>
        </w:trPr>
        <w:tc>
          <w:tcPr>
            <w:tcW w:type="dxa" w:w="2700"/>
            <w:shd w:fill="E8EEF5"/>
            <w:tcMar>
              <w:top w:w="80" w:type="dxa"/>
              <w:start w:w="120" w:type="dxa"/>
              <w:bottom w:w="80" w:type="dxa"/>
              <w:end w:w="120" w:type="dxa"/>
            </w:tcMar>
            <w:vAlign w:val="center"/>
          </w:tcPr>
          <w:p>
            <w:r>
              <w:rPr>
                <w:rFonts w:ascii="Calibri" w:hAnsi="Calibri"/>
                <w:b/>
                <w:color w:val="243B64"/>
              </w:rPr>
              <w:t>Status</w:t>
            </w:r>
          </w:p>
        </w:tc>
        <w:tc>
          <w:tcPr>
            <w:tcW w:type="dxa" w:w="6660"/>
            <w:tcMar>
              <w:top w:w="80" w:type="dxa"/>
              <w:start w:w="120" w:type="dxa"/>
              <w:bottom w:w="80" w:type="dxa"/>
              <w:end w:w="120" w:type="dxa"/>
            </w:tcMar>
            <w:vAlign w:val="center"/>
          </w:tcPr>
          <w:p>
            <w:r>
              <w:rPr>
                <w:rFonts w:ascii="Calibri" w:hAnsi="Calibri"/>
                <w:color w:val="162033"/>
              </w:rPr>
              <w:t>Corrective gate issued; Master Prompt 2 of 4 remains blocked</w:t>
            </w:r>
          </w:p>
        </w:tc>
      </w:tr>
      <w:tr>
        <w:trPr>
          <w:cantSplit/>
        </w:trPr>
        <w:tc>
          <w:tcPr>
            <w:tcW w:type="dxa" w:w="2700"/>
            <w:shd w:fill="E8EEF5"/>
            <w:tcMar>
              <w:top w:w="80" w:type="dxa"/>
              <w:start w:w="120" w:type="dxa"/>
              <w:bottom w:w="80" w:type="dxa"/>
              <w:end w:w="120" w:type="dxa"/>
            </w:tcMar>
            <w:vAlign w:val="center"/>
          </w:tcPr>
          <w:p>
            <w:r>
              <w:rPr>
                <w:rFonts w:ascii="Calibri" w:hAnsi="Calibri"/>
                <w:b/>
                <w:color w:val="243B64"/>
              </w:rPr>
              <w:t>Authority</w:t>
            </w:r>
          </w:p>
        </w:tc>
        <w:tc>
          <w:tcPr>
            <w:tcW w:type="dxa" w:w="6660"/>
            <w:tcMar>
              <w:top w:w="80" w:type="dxa"/>
              <w:start w:w="120" w:type="dxa"/>
              <w:bottom w:w="80" w:type="dxa"/>
              <w:end w:w="120" w:type="dxa"/>
            </w:tcMar>
            <w:vAlign w:val="center"/>
          </w:tcPr>
          <w:p>
            <w:r>
              <w:rPr>
                <w:rFonts w:ascii="Calibri" w:hAnsi="Calibri"/>
                <w:color w:val="162033"/>
              </w:rPr>
              <w:t>Scott’s current product and sequencing decision</w:t>
            </w:r>
          </w:p>
        </w:tc>
      </w:tr>
      <w:tr>
        <w:trPr>
          <w:cantSplit/>
        </w:trPr>
        <w:tc>
          <w:tcPr>
            <w:tcW w:type="dxa" w:w="2700"/>
            <w:shd w:fill="E8EEF5"/>
            <w:tcMar>
              <w:top w:w="80" w:type="dxa"/>
              <w:start w:w="120" w:type="dxa"/>
              <w:bottom w:w="80" w:type="dxa"/>
              <w:end w:w="120" w:type="dxa"/>
            </w:tcMar>
            <w:vAlign w:val="center"/>
          </w:tcPr>
          <w:p>
            <w:r>
              <w:rPr>
                <w:rFonts w:ascii="Calibri" w:hAnsi="Calibri"/>
                <w:b/>
                <w:color w:val="243B64"/>
              </w:rPr>
              <w:t>Scope</w:t>
            </w:r>
          </w:p>
        </w:tc>
        <w:tc>
          <w:tcPr>
            <w:tcW w:type="dxa" w:w="6660"/>
            <w:tcMar>
              <w:top w:w="80" w:type="dxa"/>
              <w:start w:w="120" w:type="dxa"/>
              <w:bottom w:w="80" w:type="dxa"/>
              <w:end w:w="120" w:type="dxa"/>
            </w:tcMar>
            <w:vAlign w:val="center"/>
          </w:tcPr>
          <w:p>
            <w:r>
              <w:rPr>
                <w:rFonts w:ascii="Calibri" w:hAnsi="Calibri"/>
                <w:color w:val="162033"/>
              </w:rPr>
              <w:t>Finish, remediate, verify, and checkpoint Phase 1 only</w:t>
            </w:r>
          </w:p>
        </w:tc>
      </w:tr>
      <w:tr>
        <w:trPr>
          <w:cantSplit/>
        </w:trPr>
        <w:tc>
          <w:tcPr>
            <w:tcW w:type="dxa" w:w="2700"/>
            <w:shd w:fill="E8EEF5"/>
            <w:tcMar>
              <w:top w:w="80" w:type="dxa"/>
              <w:start w:w="120" w:type="dxa"/>
              <w:bottom w:w="80" w:type="dxa"/>
              <w:end w:w="120" w:type="dxa"/>
            </w:tcMar>
            <w:vAlign w:val="center"/>
          </w:tcPr>
          <w:p>
            <w:r>
              <w:rPr>
                <w:rFonts w:ascii="Calibri" w:hAnsi="Calibri"/>
                <w:b/>
                <w:color w:val="243B64"/>
              </w:rPr>
              <w:t>Canonical research</w:t>
            </w:r>
          </w:p>
        </w:tc>
        <w:tc>
          <w:tcPr>
            <w:tcW w:type="dxa" w:w="6660"/>
            <w:tcMar>
              <w:top w:w="80" w:type="dxa"/>
              <w:start w:w="120" w:type="dxa"/>
              <w:bottom w:w="80" w:type="dxa"/>
              <w:end w:w="120" w:type="dxa"/>
            </w:tcMar>
            <w:vAlign w:val="center"/>
          </w:tcPr>
          <w:p>
            <w:r>
              <w:rPr>
                <w:rFonts w:ascii="Calibri" w:hAnsi="Calibri"/>
                <w:color w:val="162033"/>
              </w:rPr>
              <w:t>Govs PLC project Research Report.md</w:t>
            </w:r>
          </w:p>
        </w:tc>
      </w:tr>
      <w:tr>
        <w:trPr>
          <w:cantSplit/>
        </w:trPr>
        <w:tc>
          <w:tcPr>
            <w:tcW w:type="dxa" w:w="2700"/>
            <w:shd w:fill="E8EEF5"/>
            <w:tcMar>
              <w:top w:w="80" w:type="dxa"/>
              <w:start w:w="120" w:type="dxa"/>
              <w:bottom w:w="80" w:type="dxa"/>
              <w:end w:w="120" w:type="dxa"/>
            </w:tcMar>
            <w:vAlign w:val="center"/>
          </w:tcPr>
          <w:p>
            <w:r>
              <w:rPr>
                <w:rFonts w:ascii="Calibri" w:hAnsi="Calibri"/>
                <w:b/>
                <w:color w:val="243B64"/>
              </w:rPr>
              <w:t>Canonical Phase 1 directive</w:t>
            </w:r>
          </w:p>
        </w:tc>
        <w:tc>
          <w:tcPr>
            <w:tcW w:type="dxa" w:w="6660"/>
            <w:tcMar>
              <w:top w:w="80" w:type="dxa"/>
              <w:start w:w="120" w:type="dxa"/>
              <w:bottom w:w="80" w:type="dxa"/>
              <w:end w:w="120" w:type="dxa"/>
            </w:tcMar>
            <w:vAlign w:val="center"/>
          </w:tcPr>
          <w:p>
            <w:r>
              <w:rPr>
                <w:rFonts w:ascii="Calibri" w:hAnsi="Calibri"/>
                <w:color w:val="162033"/>
              </w:rPr>
              <w:t>PLC Engineering Simulator - Codex Master Implementation Directive Phase 1.docx</w:t>
            </w:r>
          </w:p>
        </w:tc>
      </w:tr>
      <w:tr>
        <w:trPr>
          <w:cantSplit/>
        </w:trPr>
        <w:tc>
          <w:tcPr>
            <w:tcW w:type="dxa" w:w="2700"/>
            <w:shd w:fill="E8EEF5"/>
            <w:tcMar>
              <w:top w:w="80" w:type="dxa"/>
              <w:start w:w="120" w:type="dxa"/>
              <w:bottom w:w="80" w:type="dxa"/>
              <w:end w:w="120" w:type="dxa"/>
            </w:tcMar>
            <w:vAlign w:val="center"/>
          </w:tcPr>
          <w:p>
            <w:r>
              <w:rPr>
                <w:rFonts w:ascii="Calibri" w:hAnsi="Calibri"/>
                <w:b/>
                <w:color w:val="243B64"/>
              </w:rPr>
              <w:t>Revision</w:t>
            </w:r>
          </w:p>
        </w:tc>
        <w:tc>
          <w:tcPr>
            <w:tcW w:type="dxa" w:w="6660"/>
            <w:tcMar>
              <w:top w:w="80" w:type="dxa"/>
              <w:start w:w="120" w:type="dxa"/>
              <w:bottom w:w="80" w:type="dxa"/>
              <w:end w:w="120" w:type="dxa"/>
            </w:tcMar>
            <w:vAlign w:val="center"/>
          </w:tcPr>
          <w:p>
            <w:r>
              <w:rPr>
                <w:rFonts w:ascii="Calibri" w:hAnsi="Calibri"/>
                <w:color w:val="162033"/>
              </w:rPr>
              <w:t>1.0  |  August 27, 2026</w:t>
            </w:r>
          </w:p>
        </w:tc>
      </w:tr>
    </w:tbl>
    <w:p>
      <w:r>
        <w:br w:type="page"/>
      </w:r>
    </w:p>
    <w:p>
      <w:pPr>
        <w:spacing w:before="120" w:after="160"/>
        <w:ind w:left="259" w:right="173"/>
        <w:shd w:fill="E8EEF5"/>
        <w:pBdr>
          <w:left w:val="single" w:sz="20" w:space="8" w:color="2F6FC2"/>
        </w:pBdr>
      </w:pPr>
      <w:r>
        <w:rPr>
          <w:rFonts w:ascii="Calibri" w:hAnsi="Calibri"/>
          <w:b/>
          <w:color w:val="243B64"/>
        </w:rPr>
        <w:t xml:space="preserve">Instruction to Codex: </w:t>
      </w:r>
      <w:r>
        <w:rPr>
          <w:rFonts w:ascii="Calibri" w:hAnsi="Calibri"/>
          <w:color w:val="162033"/>
        </w:rPr>
        <w:t>Execute this order against the existing repository. Preserve useful work, repair only the bounded defects described here, produce the required evidence, and stop. Do not begin Phase 2 product implementation.</w:t>
      </w:r>
    </w:p>
    <w:p>
      <w:pPr>
        <w:pStyle w:val="Heading1"/>
        <w:keepNext/>
      </w:pPr>
      <w:r>
        <w:t>1. Directive status and authority</w:t>
      </w:r>
    </w:p>
    <w:p>
      <w:r>
        <w:rPr>
          <w:rFonts w:ascii="Calibri" w:hAnsi="Calibri"/>
          <w:i w:val="0"/>
        </w:rPr>
        <w:t>This document is a bounded corrective addendum to Master Implementation Prompt 1 of 4: Phase 1. It does not create Phase 1.5, does not replace or restart Phase 1, does not increase the four-prompt count, and does not authorize Phase 2 work. Its sole purpose is to convert the existing Phase 1 work into a trustworthy, versioned checkpoint from which the separate Master Implementation Prompt 2 of 4 can begin.</w:t>
      </w:r>
    </w:p>
    <w:p>
      <w:pPr>
        <w:pStyle w:val="Heading2"/>
        <w:keepNext/>
      </w:pPr>
      <w:r>
        <w:t>1.1 Governing hierarchy</w:t>
      </w:r>
    </w:p>
    <w:p>
      <w:pPr>
        <w:pStyle w:val="ListNumber"/>
      </w:pPr>
      <w:r>
        <w:rPr>
          <w:rFonts w:ascii="Calibri" w:hAnsi="Calibri"/>
        </w:rPr>
        <w:t>Scott’s current product intent and explicit instructions.</w:t>
      </w:r>
    </w:p>
    <w:p>
      <w:pPr>
        <w:pStyle w:val="ListNumber"/>
      </w:pPr>
      <w:r>
        <w:rPr>
          <w:rFonts w:ascii="Calibri" w:hAnsi="Calibri"/>
        </w:rPr>
        <w:t>This Phase 1 Corrective Addendum — Closure and Trusted Baseline.</w:t>
      </w:r>
    </w:p>
    <w:p>
      <w:pPr>
        <w:pStyle w:val="ListNumber"/>
      </w:pPr>
      <w:r>
        <w:rPr>
          <w:rFonts w:ascii="Calibri" w:hAnsi="Calibri"/>
        </w:rPr>
        <w:t>The Phase 1 Master Implementation Directive, except where this order expressly supersedes it.</w:t>
      </w:r>
    </w:p>
    <w:p>
      <w:pPr>
        <w:pStyle w:val="ListNumber"/>
      </w:pPr>
      <w:r>
        <w:rPr>
          <w:rFonts w:ascii="Calibri" w:hAnsi="Calibri"/>
        </w:rPr>
        <w:t>The frozen research report as technical and contextual evidence.</w:t>
      </w:r>
    </w:p>
    <w:p>
      <w:pPr>
        <w:pStyle w:val="ListNumber"/>
      </w:pPr>
      <w:r>
        <w:rPr>
          <w:rFonts w:ascii="Calibri" w:hAnsi="Calibri"/>
        </w:rPr>
        <w:t>Repository artifacts and implementation decisions that comply with the authorities above.</w:t>
      </w:r>
    </w:p>
    <w:p>
      <w:pPr>
        <w:pStyle w:val="Heading2"/>
        <w:keepNext/>
      </w:pPr>
      <w:r>
        <w:t>1.2 Express supersession</w:t>
      </w:r>
    </w:p>
    <w:p>
      <w:r>
        <w:rPr>
          <w:rFonts w:ascii="Calibri" w:hAnsi="Calibri"/>
          <w:i w:val="0"/>
        </w:rPr>
        <w:t>Scott has chosen four separate implementation directives operating on one continuing repository. Therefore:</w:t>
      </w:r>
    </w:p>
    <w:p>
      <w:pPr>
        <w:pStyle w:val="ListBullet"/>
      </w:pPr>
      <w:r>
        <w:rPr>
          <w:rFonts w:ascii="Calibri" w:hAnsi="Calibri"/>
        </w:rPr>
        <w:t>PES-GOV-0017 and PES-GOV-0018 are superseded to the extent they require one cumulative master document or prohibit separate phase directives.</w:t>
      </w:r>
    </w:p>
    <w:p>
      <w:pPr>
        <w:pStyle w:val="ListBullet"/>
      </w:pPr>
      <w:r>
        <w:rPr>
          <w:rFonts w:ascii="Calibri" w:hAnsi="Calibri"/>
        </w:rPr>
        <w:t>Any construction-ledger language requiring Phases 2–4 to be revisions of the Phase 1 DOCX is superseded.</w:t>
      </w:r>
    </w:p>
    <w:p>
      <w:pPr>
        <w:pStyle w:val="ListBullet"/>
      </w:pPr>
      <w:r>
        <w:rPr>
          <w:rFonts w:ascii="Calibri" w:hAnsi="Calibri"/>
        </w:rPr>
        <w:t>The original Phase 1 DOCX shall remain preserved as historical evidence. Do not overwrite it or rename it as Phase 2.</w:t>
      </w:r>
    </w:p>
    <w:p>
      <w:pPr>
        <w:pStyle w:val="ListBullet"/>
      </w:pPr>
      <w:r>
        <w:rPr>
          <w:rFonts w:ascii="Calibri" w:hAnsi="Calibri"/>
        </w:rPr>
        <w:t>This supersession changes document sequencing only. It does not weaken the product mission, clean-room rules, safety wall, brand-neutrality, offline posture, or prohibition on physical industrial communication.</w:t>
      </w:r>
    </w:p>
    <w:p>
      <w:r>
        <w:rPr>
          <w:rFonts w:ascii="Calibri" w:hAnsi="Calibri"/>
          <w:i w:val="0"/>
        </w:rPr>
        <w:t>Record this supersession through the existing change-control and traceability mechanisms without deleting or reusing issued requirement IDs.</w:t>
      </w:r>
    </w:p>
    <w:p>
      <w:r>
        <w:br w:type="page"/>
      </w:r>
    </w:p>
    <w:p>
      <w:pPr>
        <w:pStyle w:val="Heading2"/>
        <w:keepNext/>
      </w:pPr>
      <w:r>
        <w:t>1.3 Canonical supplied sources</w:t>
      </w:r>
    </w:p>
    <w:tbl>
      <w:tblPr>
        <w:tblStyle w:val="TableGrid"/>
        <w:tblW w:type="dxa" w:w="9360"/>
        <w:jc w:val="left"/>
        <w:tblLayout w:type="fixed"/>
        <w:tblLook w:firstColumn="1" w:firstRow="1" w:lastColumn="0" w:lastRow="0" w:noHBand="0" w:noVBand="1" w:val="04A0"/>
        <w:tblInd w:w="120" w:type="dxa"/>
      </w:tblPr>
      <w:tblGrid>
        <w:gridCol w:w="2700"/>
        <w:gridCol w:w="6660"/>
      </w:tblGrid>
      <w:tr>
        <w:trPr>
          <w:cantSplit/>
        </w:trPr>
        <w:tc>
          <w:tcPr>
            <w:tcW w:type="dxa" w:w="2700"/>
            <w:shd w:fill="E8EEF5"/>
            <w:tcMar>
              <w:top w:w="80" w:type="dxa"/>
              <w:start w:w="120" w:type="dxa"/>
              <w:bottom w:w="80" w:type="dxa"/>
              <w:end w:w="120" w:type="dxa"/>
            </w:tcMar>
            <w:vAlign w:val="center"/>
          </w:tcPr>
          <w:p>
            <w:r>
              <w:rPr>
                <w:rFonts w:ascii="Calibri" w:hAnsi="Calibri"/>
                <w:b/>
                <w:color w:val="243B64"/>
              </w:rPr>
              <w:t>Research filename</w:t>
            </w:r>
          </w:p>
        </w:tc>
        <w:tc>
          <w:tcPr>
            <w:tcW w:type="dxa" w:w="6660"/>
            <w:tcMar>
              <w:top w:w="80" w:type="dxa"/>
              <w:start w:w="120" w:type="dxa"/>
              <w:bottom w:w="80" w:type="dxa"/>
              <w:end w:w="120" w:type="dxa"/>
            </w:tcMar>
            <w:vAlign w:val="center"/>
          </w:tcPr>
          <w:p>
            <w:r>
              <w:rPr>
                <w:rFonts w:ascii="Calibri" w:hAnsi="Calibri"/>
                <w:color w:val="162033"/>
              </w:rPr>
              <w:t>Govs PLC project Research Report.md</w:t>
            </w:r>
          </w:p>
        </w:tc>
      </w:tr>
      <w:tr>
        <w:trPr>
          <w:cantSplit/>
        </w:trPr>
        <w:tc>
          <w:tcPr>
            <w:tcW w:type="dxa" w:w="2700"/>
            <w:shd w:fill="E8EEF5"/>
            <w:tcMar>
              <w:top w:w="80" w:type="dxa"/>
              <w:start w:w="120" w:type="dxa"/>
              <w:bottom w:w="80" w:type="dxa"/>
              <w:end w:w="120" w:type="dxa"/>
            </w:tcMar>
            <w:vAlign w:val="center"/>
          </w:tcPr>
          <w:p>
            <w:r>
              <w:rPr>
                <w:rFonts w:ascii="Calibri" w:hAnsi="Calibri"/>
                <w:b/>
                <w:color w:val="243B64"/>
              </w:rPr>
              <w:t>Research SHA-256</w:t>
            </w:r>
          </w:p>
        </w:tc>
        <w:tc>
          <w:tcPr>
            <w:tcW w:type="dxa" w:w="6660"/>
            <w:tcMar>
              <w:top w:w="80" w:type="dxa"/>
              <w:start w:w="120" w:type="dxa"/>
              <w:bottom w:w="80" w:type="dxa"/>
              <w:end w:w="120" w:type="dxa"/>
            </w:tcMar>
            <w:vAlign w:val="center"/>
          </w:tcPr>
          <w:p>
            <w:r>
              <w:rPr>
                <w:rFonts w:ascii="Calibri" w:hAnsi="Calibri"/>
                <w:color w:val="162033"/>
              </w:rPr>
              <w:t>F05C08323B5CC9483BEB1FEB3C7312CCB9A45EBE3B527E6DAE069C181D3FBF55</w:t>
            </w:r>
          </w:p>
        </w:tc>
      </w:tr>
      <w:tr>
        <w:trPr>
          <w:cantSplit/>
        </w:trPr>
        <w:tc>
          <w:tcPr>
            <w:tcW w:type="dxa" w:w="2700"/>
            <w:shd w:fill="E8EEF5"/>
            <w:tcMar>
              <w:top w:w="80" w:type="dxa"/>
              <w:start w:w="120" w:type="dxa"/>
              <w:bottom w:w="80" w:type="dxa"/>
              <w:end w:w="120" w:type="dxa"/>
            </w:tcMar>
            <w:vAlign w:val="center"/>
          </w:tcPr>
          <w:p>
            <w:r>
              <w:rPr>
                <w:rFonts w:ascii="Calibri" w:hAnsi="Calibri"/>
                <w:b/>
                <w:color w:val="243B64"/>
              </w:rPr>
              <w:t>Phase 1 directive filename</w:t>
            </w:r>
          </w:p>
        </w:tc>
        <w:tc>
          <w:tcPr>
            <w:tcW w:type="dxa" w:w="6660"/>
            <w:tcMar>
              <w:top w:w="80" w:type="dxa"/>
              <w:start w:w="120" w:type="dxa"/>
              <w:bottom w:w="80" w:type="dxa"/>
              <w:end w:w="120" w:type="dxa"/>
            </w:tcMar>
            <w:vAlign w:val="center"/>
          </w:tcPr>
          <w:p>
            <w:r>
              <w:rPr>
                <w:rFonts w:ascii="Calibri" w:hAnsi="Calibri"/>
                <w:color w:val="162033"/>
              </w:rPr>
              <w:t>PLC Engineering Simulator - Codex Master Implementation Directive Phase 1.docx</w:t>
            </w:r>
          </w:p>
        </w:tc>
      </w:tr>
      <w:tr>
        <w:trPr>
          <w:cantSplit/>
        </w:trPr>
        <w:tc>
          <w:tcPr>
            <w:tcW w:type="dxa" w:w="2700"/>
            <w:shd w:fill="E8EEF5"/>
            <w:tcMar>
              <w:top w:w="80" w:type="dxa"/>
              <w:start w:w="120" w:type="dxa"/>
              <w:bottom w:w="80" w:type="dxa"/>
              <w:end w:w="120" w:type="dxa"/>
            </w:tcMar>
            <w:vAlign w:val="center"/>
          </w:tcPr>
          <w:p>
            <w:r>
              <w:rPr>
                <w:rFonts w:ascii="Calibri" w:hAnsi="Calibri"/>
                <w:b/>
                <w:color w:val="243B64"/>
              </w:rPr>
              <w:t>Phase 1 directive SHA-256</w:t>
            </w:r>
          </w:p>
        </w:tc>
        <w:tc>
          <w:tcPr>
            <w:tcW w:type="dxa" w:w="6660"/>
            <w:tcMar>
              <w:top w:w="80" w:type="dxa"/>
              <w:start w:w="120" w:type="dxa"/>
              <w:bottom w:w="80" w:type="dxa"/>
              <w:end w:w="120" w:type="dxa"/>
            </w:tcMar>
            <w:vAlign w:val="center"/>
          </w:tcPr>
          <w:p>
            <w:r>
              <w:rPr>
                <w:rFonts w:ascii="Calibri" w:hAnsi="Calibri"/>
                <w:color w:val="162033"/>
              </w:rPr>
              <w:t>EBF074E2CEAB752F09E6DB63D88E100991729DA13C1EB874290A6B337DA72612</w:t>
            </w:r>
          </w:p>
        </w:tc>
      </w:tr>
    </w:tbl>
    <w:p>
      <w:r>
        <w:rPr>
          <w:rFonts w:ascii="Calibri" w:hAnsi="Calibri"/>
          <w:i w:val="0"/>
        </w:rPr>
        <w:t>The two audit DOCX files are evidence leads, not self-authenticating proof. Reproduce their material findings from the repository and source files. If either canonical source is missing or its hash differs, stop before remediation and report the discrepancy to Scott.</w:t>
      </w:r>
    </w:p>
    <w:p>
      <w:pPr>
        <w:pStyle w:val="Heading1"/>
        <w:keepNext/>
      </w:pPr>
      <w:r>
        <w:t>2. Mission, completion boundary, and non-goals</w:t>
      </w:r>
    </w:p>
    <w:p>
      <w:r>
        <w:rPr>
          <w:rFonts w:ascii="Calibri" w:hAnsi="Calibri"/>
          <w:i w:val="0"/>
        </w:rPr>
        <w:t>The mission is to finish the existing adversarial audit, repair the bounded Phase 1 defects, establish independent verification, and create a clean trusted repository checkpoint. Work ends when the closure gate passes or a blocking condition is reported.</w:t>
      </w:r>
    </w:p>
    <w:p>
      <w:pPr>
        <w:spacing w:before="120" w:after="160"/>
        <w:ind w:left="259" w:right="173"/>
        <w:shd w:fill="FCECEC"/>
        <w:pBdr>
          <w:left w:val="single" w:sz="20" w:space="8" w:color="9B1C1C"/>
        </w:pBdr>
      </w:pPr>
      <w:r>
        <w:rPr>
          <w:rFonts w:ascii="Calibri" w:hAnsi="Calibri"/>
          <w:b/>
          <w:color w:val="9B1C1C"/>
        </w:rPr>
        <w:t xml:space="preserve">Hard stop: </w:t>
      </w:r>
      <w:r>
        <w:rPr>
          <w:rFonts w:ascii="Calibri" w:hAnsi="Calibri"/>
          <w:color w:val="162033"/>
        </w:rPr>
        <w:t>Passing this gate authorizes Scott to issue the separate Phase 2 master prompt. It does not authorize Codex to begin Phase 2 on its own.</w:t>
      </w:r>
    </w:p>
    <w:p>
      <w:pPr>
        <w:pStyle w:val="Heading2"/>
        <w:keepNext/>
      </w:pPr>
      <w:r>
        <w:t>2.1 Authorized work</w:t>
      </w:r>
    </w:p>
    <w:p>
      <w:pPr>
        <w:pStyle w:val="ListBullet"/>
      </w:pPr>
      <w:r>
        <w:rPr>
          <w:rFonts w:ascii="Calibri" w:hAnsi="Calibri"/>
        </w:rPr>
        <w:t>Audit completion, evidence reproduction, and defect adjudication.</w:t>
      </w:r>
    </w:p>
    <w:p>
      <w:pPr>
        <w:pStyle w:val="ListBullet"/>
      </w:pPr>
      <w:r>
        <w:rPr>
          <w:rFonts w:ascii="Calibri" w:hAnsi="Calibri"/>
        </w:rPr>
        <w:t>Requirement-registry, traceability, verifier, mutation-harness, governance, Git, and CI repairs required by this order.</w:t>
      </w:r>
    </w:p>
    <w:p>
      <w:pPr>
        <w:pStyle w:val="ListBullet"/>
      </w:pPr>
      <w:r>
        <w:rPr>
          <w:rFonts w:ascii="Calibri" w:hAnsi="Calibri"/>
        </w:rPr>
        <w:t>Completion of the minimal runnable technical foundation already assigned to Phase 1: clean install, build, test, launch, and a tested UI-to-domain-to-worker/WASM health round trip with no PLC semantics.</w:t>
      </w:r>
    </w:p>
    <w:p>
      <w:pPr>
        <w:pStyle w:val="ListBullet"/>
      </w:pPr>
      <w:r>
        <w:rPr>
          <w:rFonts w:ascii="Calibri" w:hAnsi="Calibri"/>
        </w:rPr>
        <w:t>Documentation and evidence needed to prove the gate result.</w:t>
      </w:r>
    </w:p>
    <w:p>
      <w:pPr>
        <w:pStyle w:val="Heading2"/>
        <w:keepNext/>
      </w:pPr>
      <w:r>
        <w:t>2.2 Work explicitly forbidden in this order</w:t>
      </w:r>
    </w:p>
    <w:p>
      <w:pPr>
        <w:pStyle w:val="ListBullet"/>
      </w:pPr>
      <w:r>
        <w:rPr>
          <w:rFonts w:ascii="Calibri" w:hAnsi="Calibri"/>
        </w:rPr>
        <w:t>PLC compiler, intermediate representation, virtual controller, scan-cycle runtime, or PLC-language implementation.</w:t>
      </w:r>
    </w:p>
    <w:p>
      <w:pPr>
        <w:pStyle w:val="ListBullet"/>
      </w:pPr>
      <w:r>
        <w:rPr>
          <w:rFonts w:ascii="Calibri" w:hAnsi="Calibri"/>
        </w:rPr>
        <w:t>Engineering UI, LAD/FBD/SCL editors, HMI, VirtualUniverse process physics, Teacher Mode, Learning Lens, scenarios, or assessments.</w:t>
      </w:r>
    </w:p>
    <w:p>
      <w:pPr>
        <w:pStyle w:val="ListBullet"/>
      </w:pPr>
      <w:r>
        <w:rPr>
          <w:rFonts w:ascii="Calibri" w:hAnsi="Calibri"/>
        </w:rPr>
        <w:t>Any library, driver, protocol stack, socket path, device enumeration, discovery function, or adapter capable of communicating with physical industrial equipment.</w:t>
      </w:r>
    </w:p>
    <w:p>
      <w:pPr>
        <w:pStyle w:val="ListBullet"/>
      </w:pPr>
      <w:r>
        <w:rPr>
          <w:rFonts w:ascii="Calibri" w:hAnsi="Calibri"/>
        </w:rPr>
        <w:t>A wholesale rewrite, repository reset, deletion of historical evidence, or replacement of the current work with a new governance system.</w:t>
      </w:r>
    </w:p>
    <w:p>
      <w:pPr>
        <w:pStyle w:val="ListBullet"/>
      </w:pPr>
      <w:r>
        <w:rPr>
          <w:rFonts w:ascii="Calibri" w:hAnsi="Calibri"/>
        </w:rPr>
        <w:t>New requirements or exclusions invented merely to make the gate pass.</w:t>
      </w:r>
    </w:p>
    <w:p>
      <w:pPr>
        <w:pStyle w:val="Heading1"/>
        <w:keepNext/>
      </w:pPr>
      <w:r>
        <w:t>3. Reported starting state to reproduce</w:t>
      </w:r>
    </w:p>
    <w:p>
      <w:r>
        <w:rPr>
          <w:rFonts w:ascii="Calibri" w:hAnsi="Calibri"/>
          <w:i w:val="0"/>
        </w:rPr>
        <w:t>The following claims were reported by Codex and reviewed from the supplied audit documents. Treat them as hypotheses until reproduced from primary repository evidence.</w:t>
      </w:r>
    </w:p>
    <w:tbl>
      <w:tblPr>
        <w:tblStyle w:val="TableGrid"/>
        <w:tblW w:type="dxa" w:w="9360"/>
        <w:jc w:val="left"/>
        <w:tblLayout w:type="fixed"/>
        <w:tblLook w:firstColumn="1" w:firstRow="1" w:lastColumn="0" w:lastRow="0" w:noHBand="0" w:noVBand="1" w:val="04A0"/>
        <w:tblInd w:w="120" w:type="dxa"/>
      </w:tblPr>
      <w:tblGrid>
        <w:gridCol w:w="2200"/>
        <w:gridCol w:w="2200"/>
        <w:gridCol w:w="4960"/>
      </w:tblGrid>
      <w:tr>
        <w:trPr>
          <w:tblHeader w:val="true"/>
          <w:cantSplit/>
        </w:trPr>
        <w:tc>
          <w:tcPr>
            <w:tcW w:type="dxa" w:w="2200"/>
            <w:shd w:fill="243B64"/>
            <w:tcMar>
              <w:top w:w="80" w:type="dxa"/>
              <w:start w:w="120" w:type="dxa"/>
              <w:bottom w:w="80" w:type="dxa"/>
              <w:end w:w="120" w:type="dxa"/>
            </w:tcMar>
            <w:vAlign w:val="center"/>
          </w:tcPr>
          <w:p>
            <w:r>
              <w:rPr>
                <w:rFonts w:ascii="Calibri" w:hAnsi="Calibri"/>
                <w:b/>
                <w:color w:val="FFFFFF"/>
              </w:rPr>
              <w:t>Reported item</w:t>
            </w:r>
          </w:p>
        </w:tc>
        <w:tc>
          <w:tcPr>
            <w:tcW w:type="dxa" w:w="2200"/>
            <w:shd w:fill="243B64"/>
            <w:tcMar>
              <w:top w:w="80" w:type="dxa"/>
              <w:start w:w="120" w:type="dxa"/>
              <w:bottom w:w="80" w:type="dxa"/>
              <w:end w:w="120" w:type="dxa"/>
            </w:tcMar>
            <w:vAlign w:val="center"/>
          </w:tcPr>
          <w:p>
            <w:r>
              <w:rPr>
                <w:rFonts w:ascii="Calibri" w:hAnsi="Calibri"/>
                <w:b/>
                <w:color w:val="FFFFFF"/>
              </w:rPr>
              <w:t>Reported state</w:t>
            </w:r>
          </w:p>
        </w:tc>
        <w:tc>
          <w:tcPr>
            <w:tcW w:type="dxa" w:w="4960"/>
            <w:shd w:fill="243B64"/>
            <w:tcMar>
              <w:top w:w="80" w:type="dxa"/>
              <w:start w:w="120" w:type="dxa"/>
              <w:bottom w:w="80" w:type="dxa"/>
              <w:end w:w="120" w:type="dxa"/>
            </w:tcMar>
            <w:vAlign w:val="center"/>
          </w:tcPr>
          <w:p>
            <w:r>
              <w:rPr>
                <w:rFonts w:ascii="Calibri" w:hAnsi="Calibri"/>
                <w:b/>
                <w:color w:val="FFFFFF"/>
              </w:rPr>
              <w:t>Required treatment</w:t>
            </w:r>
          </w:p>
        </w:tc>
      </w:tr>
      <w:tr>
        <w:trPr>
          <w:cantSplit/>
        </w:trPr>
        <w:tc>
          <w:tcPr>
            <w:tcW w:type="dxa" w:w="2200"/>
            <w:shd w:fill="F2F4F7"/>
            <w:tcMar>
              <w:top w:w="80" w:type="dxa"/>
              <w:start w:w="120" w:type="dxa"/>
              <w:bottom w:w="80" w:type="dxa"/>
              <w:end w:w="120" w:type="dxa"/>
            </w:tcMar>
            <w:vAlign w:val="center"/>
          </w:tcPr>
          <w:p>
            <w:r>
              <w:rPr>
                <w:rFonts w:ascii="Calibri" w:hAnsi="Calibri"/>
                <w:color w:val="162033"/>
              </w:rPr>
              <w:t>Normative recall</w:t>
            </w:r>
          </w:p>
        </w:tc>
        <w:tc>
          <w:tcPr>
            <w:tcW w:type="dxa" w:w="2200"/>
            <w:shd w:fill="F2F4F7"/>
            <w:tcMar>
              <w:top w:w="80" w:type="dxa"/>
              <w:start w:w="120" w:type="dxa"/>
              <w:bottom w:w="80" w:type="dxa"/>
              <w:end w:w="120" w:type="dxa"/>
            </w:tcMar>
            <w:vAlign w:val="center"/>
          </w:tcPr>
          <w:p>
            <w:r>
              <w:rPr>
                <w:rFonts w:ascii="Calibri" w:hAnsi="Calibri"/>
                <w:color w:val="162033"/>
              </w:rPr>
              <w:t>546 units: 498 mapped, 48 unmapped</w:t>
            </w:r>
          </w:p>
        </w:tc>
        <w:tc>
          <w:tcPr>
            <w:tcW w:type="dxa" w:w="4960"/>
            <w:shd w:fill="F2F4F7"/>
            <w:tcMar>
              <w:top w:w="80" w:type="dxa"/>
              <w:start w:w="120" w:type="dxa"/>
              <w:bottom w:w="80" w:type="dxa"/>
              <w:end w:w="120" w:type="dxa"/>
            </w:tcMar>
            <w:vAlign w:val="center"/>
          </w:tcPr>
          <w:p>
            <w:r>
              <w:rPr>
                <w:rFonts w:ascii="Calibri" w:hAnsi="Calibri"/>
                <w:color w:val="162033"/>
              </w:rPr>
              <w:t>Reproduce the full ledger and resolve every unit.</w:t>
            </w:r>
          </w:p>
        </w:tc>
      </w:tr>
      <w:tr>
        <w:trPr>
          <w:cantSplit/>
        </w:trPr>
        <w:tc>
          <w:tcPr>
            <w:tcW w:type="dxa" w:w="2200"/>
            <w:tcMar>
              <w:top w:w="80" w:type="dxa"/>
              <w:start w:w="120" w:type="dxa"/>
              <w:bottom w:w="80" w:type="dxa"/>
              <w:end w:w="120" w:type="dxa"/>
            </w:tcMar>
            <w:vAlign w:val="center"/>
          </w:tcPr>
          <w:p>
            <w:r>
              <w:rPr>
                <w:rFonts w:ascii="Calibri" w:hAnsi="Calibri"/>
                <w:color w:val="162033"/>
              </w:rPr>
              <w:t>Atomicity</w:t>
            </w:r>
          </w:p>
        </w:tc>
        <w:tc>
          <w:tcPr>
            <w:tcW w:type="dxa" w:w="2200"/>
            <w:tcMar>
              <w:top w:w="80" w:type="dxa"/>
              <w:start w:w="120" w:type="dxa"/>
              <w:bottom w:w="80" w:type="dxa"/>
              <w:end w:w="120" w:type="dxa"/>
            </w:tcMar>
            <w:vAlign w:val="center"/>
          </w:tcPr>
          <w:p>
            <w:r>
              <w:rPr>
                <w:rFonts w:ascii="Calibri" w:hAnsi="Calibri"/>
                <w:color w:val="162033"/>
              </w:rPr>
              <w:t>20 issued records remain compound</w:t>
            </w:r>
          </w:p>
        </w:tc>
        <w:tc>
          <w:tcPr>
            <w:tcW w:type="dxa" w:w="4960"/>
            <w:tcMar>
              <w:top w:w="80" w:type="dxa"/>
              <w:start w:w="120" w:type="dxa"/>
              <w:bottom w:w="80" w:type="dxa"/>
              <w:end w:w="120" w:type="dxa"/>
            </w:tcMar>
            <w:vAlign w:val="center"/>
          </w:tcPr>
          <w:p>
            <w:r>
              <w:rPr>
                <w:rFonts w:ascii="Calibri" w:hAnsi="Calibri"/>
                <w:color w:val="162033"/>
              </w:rPr>
              <w:t>Identify every record and split it without losing lineage.</w:t>
            </w:r>
          </w:p>
        </w:tc>
      </w:tr>
      <w:tr>
        <w:trPr>
          <w:cantSplit/>
        </w:trPr>
        <w:tc>
          <w:tcPr>
            <w:tcW w:type="dxa" w:w="2200"/>
            <w:shd w:fill="F2F4F7"/>
            <w:tcMar>
              <w:top w:w="80" w:type="dxa"/>
              <w:start w:w="120" w:type="dxa"/>
              <w:bottom w:w="80" w:type="dxa"/>
              <w:end w:w="120" w:type="dxa"/>
            </w:tcMar>
            <w:vAlign w:val="center"/>
          </w:tcPr>
          <w:p>
            <w:r>
              <w:rPr>
                <w:rFonts w:ascii="Calibri" w:hAnsi="Calibri"/>
                <w:color w:val="162033"/>
              </w:rPr>
              <w:t>Precision drift</w:t>
            </w:r>
          </w:p>
        </w:tc>
        <w:tc>
          <w:tcPr>
            <w:tcW w:type="dxa" w:w="2200"/>
            <w:shd w:fill="F2F4F7"/>
            <w:tcMar>
              <w:top w:w="80" w:type="dxa"/>
              <w:start w:w="120" w:type="dxa"/>
              <w:bottom w:w="80" w:type="dxa"/>
              <w:end w:w="120" w:type="dxa"/>
            </w:tcMar>
            <w:vAlign w:val="center"/>
          </w:tcPr>
          <w:p>
            <w:r>
              <w:rPr>
                <w:rFonts w:ascii="Calibri" w:hAnsi="Calibri"/>
                <w:color w:val="162033"/>
              </w:rPr>
              <w:t>PES-REQ-0003 adds a nonexistent “Table row:” prefix</w:t>
            </w:r>
          </w:p>
        </w:tc>
        <w:tc>
          <w:tcPr>
            <w:tcW w:type="dxa" w:w="4960"/>
            <w:shd w:fill="F2F4F7"/>
            <w:tcMar>
              <w:top w:w="80" w:type="dxa"/>
              <w:start w:w="120" w:type="dxa"/>
              <w:bottom w:w="80" w:type="dxa"/>
              <w:end w:w="120" w:type="dxa"/>
            </w:tcMar>
            <w:vAlign w:val="center"/>
          </w:tcPr>
          <w:p>
            <w:r>
              <w:rPr>
                <w:rFonts w:ascii="Calibri" w:hAnsi="Calibri"/>
                <w:color w:val="162033"/>
              </w:rPr>
              <w:t>Correct the registry text and all dependent hashes/maps.</w:t>
            </w:r>
          </w:p>
        </w:tc>
      </w:tr>
      <w:tr>
        <w:trPr>
          <w:cantSplit/>
        </w:trPr>
        <w:tc>
          <w:tcPr>
            <w:tcW w:type="dxa" w:w="2200"/>
            <w:tcMar>
              <w:top w:w="80" w:type="dxa"/>
              <w:start w:w="120" w:type="dxa"/>
              <w:bottom w:w="80" w:type="dxa"/>
              <w:end w:w="120" w:type="dxa"/>
            </w:tcMar>
            <w:vAlign w:val="center"/>
          </w:tcPr>
          <w:p>
            <w:r>
              <w:rPr>
                <w:rFonts w:ascii="Calibri" w:hAnsi="Calibri"/>
                <w:color w:val="162033"/>
              </w:rPr>
              <w:t>Verifier classification</w:t>
            </w:r>
          </w:p>
        </w:tc>
        <w:tc>
          <w:tcPr>
            <w:tcW w:type="dxa" w:w="2200"/>
            <w:tcMar>
              <w:top w:w="80" w:type="dxa"/>
              <w:start w:w="120" w:type="dxa"/>
              <w:bottom w:w="80" w:type="dxa"/>
              <w:end w:w="120" w:type="dxa"/>
            </w:tcMar>
            <w:vAlign w:val="center"/>
          </w:tcPr>
          <w:p>
            <w:r>
              <w:rPr>
                <w:rFonts w:ascii="Calibri" w:hAnsi="Calibri"/>
                <w:color w:val="162033"/>
              </w:rPr>
              <w:t>163 checks: 64 derived, 36 structural, 63 tautological</w:t>
            </w:r>
          </w:p>
        </w:tc>
        <w:tc>
          <w:tcPr>
            <w:tcW w:type="dxa" w:w="4960"/>
            <w:tcMar>
              <w:top w:w="80" w:type="dxa"/>
              <w:start w:w="120" w:type="dxa"/>
              <w:bottom w:w="80" w:type="dxa"/>
              <w:end w:w="120" w:type="dxa"/>
            </w:tcMar>
            <w:vAlign w:val="center"/>
          </w:tcPr>
          <w:p>
            <w:r>
              <w:rPr>
                <w:rFonts w:ascii="Calibri" w:hAnsi="Calibri"/>
                <w:color w:val="162033"/>
              </w:rPr>
              <w:t>Publish the full classification; do not treat structural or tautological checks as independent proof.</w:t>
            </w:r>
          </w:p>
        </w:tc>
      </w:tr>
      <w:tr>
        <w:trPr>
          <w:cantSplit/>
        </w:trPr>
        <w:tc>
          <w:tcPr>
            <w:tcW w:type="dxa" w:w="2200"/>
            <w:shd w:fill="F2F4F7"/>
            <w:tcMar>
              <w:top w:w="80" w:type="dxa"/>
              <w:start w:w="120" w:type="dxa"/>
              <w:bottom w:w="80" w:type="dxa"/>
              <w:end w:w="120" w:type="dxa"/>
            </w:tcMar>
            <w:vAlign w:val="center"/>
          </w:tcPr>
          <w:p>
            <w:r>
              <w:rPr>
                <w:rFonts w:ascii="Calibri" w:hAnsi="Calibri"/>
                <w:color w:val="162033"/>
              </w:rPr>
              <w:t>Mutation testing</w:t>
            </w:r>
          </w:p>
        </w:tc>
        <w:tc>
          <w:tcPr>
            <w:tcW w:type="dxa" w:w="2200"/>
            <w:shd w:fill="F2F4F7"/>
            <w:tcMar>
              <w:top w:w="80" w:type="dxa"/>
              <w:start w:w="120" w:type="dxa"/>
              <w:bottom w:w="80" w:type="dxa"/>
              <w:end w:w="120" w:type="dxa"/>
            </w:tcMar>
            <w:vAlign w:val="center"/>
          </w:tcPr>
          <w:p>
            <w:r>
              <w:rPr>
                <w:rFonts w:ascii="Calibri" w:hAnsi="Calibri"/>
                <w:color w:val="162033"/>
              </w:rPr>
              <w:t>7/12 reported detected; 5 escaped; one detection was an unhandled ENOENT</w:t>
            </w:r>
          </w:p>
        </w:tc>
        <w:tc>
          <w:tcPr>
            <w:tcW w:type="dxa" w:w="4960"/>
            <w:shd w:fill="F2F4F7"/>
            <w:tcMar>
              <w:top w:w="80" w:type="dxa"/>
              <w:start w:w="120" w:type="dxa"/>
              <w:bottom w:w="80" w:type="dxa"/>
              <w:end w:w="120" w:type="dxa"/>
            </w:tcMar>
            <w:vAlign w:val="center"/>
          </w:tcPr>
          <w:p>
            <w:r>
              <w:rPr>
                <w:rFonts w:ascii="Calibri" w:hAnsi="Calibri"/>
                <w:color w:val="162033"/>
              </w:rPr>
              <w:t>Require 12/12 intended named failures with no crash-based credit.</w:t>
            </w:r>
          </w:p>
        </w:tc>
      </w:tr>
      <w:tr>
        <w:trPr>
          <w:cantSplit/>
        </w:trPr>
        <w:tc>
          <w:tcPr>
            <w:tcW w:type="dxa" w:w="2200"/>
            <w:tcMar>
              <w:top w:w="80" w:type="dxa"/>
              <w:start w:w="120" w:type="dxa"/>
              <w:bottom w:w="80" w:type="dxa"/>
              <w:end w:w="120" w:type="dxa"/>
            </w:tcMar>
            <w:vAlign w:val="center"/>
          </w:tcPr>
          <w:p>
            <w:r>
              <w:rPr>
                <w:rFonts w:ascii="Calibri" w:hAnsi="Calibri"/>
                <w:color w:val="162033"/>
              </w:rPr>
              <w:t>Render digest</w:t>
            </w:r>
          </w:p>
        </w:tc>
        <w:tc>
          <w:tcPr>
            <w:tcW w:type="dxa" w:w="2200"/>
            <w:tcMar>
              <w:top w:w="80" w:type="dxa"/>
              <w:start w:w="120" w:type="dxa"/>
              <w:bottom w:w="80" w:type="dxa"/>
              <w:end w:w="120" w:type="dxa"/>
            </w:tcMar>
            <w:vAlign w:val="center"/>
          </w:tcPr>
          <w:p>
            <w:r>
              <w:rPr>
                <w:rFonts w:ascii="Calibri" w:hAnsi="Calibri"/>
                <w:color w:val="162033"/>
              </w:rPr>
              <w:t>Reported SHA-256 has only 62 hexadecimal characters</w:t>
            </w:r>
          </w:p>
        </w:tc>
        <w:tc>
          <w:tcPr>
            <w:tcW w:type="dxa" w:w="4960"/>
            <w:tcMar>
              <w:top w:w="80" w:type="dxa"/>
              <w:start w:w="120" w:type="dxa"/>
              <w:bottom w:w="80" w:type="dxa"/>
              <w:end w:w="120" w:type="dxa"/>
            </w:tcMar>
            <w:vAlign w:val="center"/>
          </w:tcPr>
          <w:p>
            <w:r>
              <w:rPr>
                <w:rFonts w:ascii="Calibri" w:hAnsi="Calibri"/>
                <w:color w:val="162033"/>
              </w:rPr>
              <w:t>Recompute from the exact artifact and preserve raw output.</w:t>
            </w:r>
          </w:p>
        </w:tc>
      </w:tr>
      <w:tr>
        <w:trPr>
          <w:cantSplit/>
        </w:trPr>
        <w:tc>
          <w:tcPr>
            <w:tcW w:type="dxa" w:w="2200"/>
            <w:shd w:fill="F2F4F7"/>
            <w:tcMar>
              <w:top w:w="80" w:type="dxa"/>
              <w:start w:w="120" w:type="dxa"/>
              <w:bottom w:w="80" w:type="dxa"/>
              <w:end w:w="120" w:type="dxa"/>
            </w:tcMar>
            <w:vAlign w:val="center"/>
          </w:tcPr>
          <w:p>
            <w:r>
              <w:rPr>
                <w:rFonts w:ascii="Calibri" w:hAnsi="Calibri"/>
                <w:color w:val="162033"/>
              </w:rPr>
              <w:t>Audit report</w:t>
            </w:r>
          </w:p>
        </w:tc>
        <w:tc>
          <w:tcPr>
            <w:tcW w:type="dxa" w:w="2200"/>
            <w:shd w:fill="F2F4F7"/>
            <w:tcMar>
              <w:top w:w="80" w:type="dxa"/>
              <w:start w:w="120" w:type="dxa"/>
              <w:bottom w:w="80" w:type="dxa"/>
              <w:end w:w="120" w:type="dxa"/>
            </w:tcMar>
            <w:vAlign w:val="center"/>
          </w:tcPr>
          <w:p>
            <w:r>
              <w:rPr>
                <w:rFonts w:ascii="Calibri" w:hAnsi="Calibri"/>
                <w:color w:val="162033"/>
              </w:rPr>
              <w:t>Delivered DOCX stops after Task 1 and contains &lt;!-- DEFECTS --&gt;</w:t>
            </w:r>
          </w:p>
        </w:tc>
        <w:tc>
          <w:tcPr>
            <w:tcW w:type="dxa" w:w="4960"/>
            <w:shd w:fill="F2F4F7"/>
            <w:tcMar>
              <w:top w:w="80" w:type="dxa"/>
              <w:start w:w="120" w:type="dxa"/>
              <w:bottom w:w="80" w:type="dxa"/>
              <w:end w:w="120" w:type="dxa"/>
            </w:tcMar>
            <w:vAlign w:val="center"/>
          </w:tcPr>
          <w:p>
            <w:r>
              <w:rPr>
                <w:rFonts w:ascii="Calibri" w:hAnsi="Calibri"/>
                <w:color w:val="162033"/>
              </w:rPr>
              <w:t>Finish Tasks 1–8, tables, raw evidence, and verdict.</w:t>
            </w:r>
          </w:p>
        </w:tc>
      </w:tr>
      <w:tr>
        <w:trPr>
          <w:cantSplit/>
        </w:trPr>
        <w:tc>
          <w:tcPr>
            <w:tcW w:type="dxa" w:w="2200"/>
            <w:tcMar>
              <w:top w:w="80" w:type="dxa"/>
              <w:start w:w="120" w:type="dxa"/>
              <w:bottom w:w="80" w:type="dxa"/>
              <w:end w:w="120" w:type="dxa"/>
            </w:tcMar>
            <w:vAlign w:val="center"/>
          </w:tcPr>
          <w:p>
            <w:r>
              <w:rPr>
                <w:rFonts w:ascii="Calibri" w:hAnsi="Calibri"/>
                <w:color w:val="162033"/>
              </w:rPr>
              <w:t>Repository baseline</w:t>
            </w:r>
          </w:p>
        </w:tc>
        <w:tc>
          <w:tcPr>
            <w:tcW w:type="dxa" w:w="2200"/>
            <w:tcMar>
              <w:top w:w="80" w:type="dxa"/>
              <w:start w:w="120" w:type="dxa"/>
              <w:bottom w:w="80" w:type="dxa"/>
              <w:end w:w="120" w:type="dxa"/>
            </w:tcMar>
            <w:vAlign w:val="center"/>
          </w:tcPr>
          <w:p>
            <w:r>
              <w:rPr>
                <w:rFonts w:ascii="Calibri" w:hAnsi="Calibri"/>
                <w:color w:val="162033"/>
              </w:rPr>
              <w:t>No HEAD or tracked files; disabled CI; empty workspace scaffolding</w:t>
            </w:r>
          </w:p>
        </w:tc>
        <w:tc>
          <w:tcPr>
            <w:tcW w:type="dxa" w:w="4960"/>
            <w:tcMar>
              <w:top w:w="80" w:type="dxa"/>
              <w:start w:w="120" w:type="dxa"/>
              <w:bottom w:w="80" w:type="dxa"/>
              <w:end w:w="120" w:type="dxa"/>
            </w:tcMar>
            <w:vAlign w:val="center"/>
          </w:tcPr>
          <w:p>
            <w:r>
              <w:rPr>
                <w:rFonts w:ascii="Calibri" w:hAnsi="Calibri"/>
                <w:color w:val="162033"/>
              </w:rPr>
              <w:t>Verify actual state, establish a clean commit/tag, and activate the gate.</w:t>
            </w:r>
          </w:p>
        </w:tc>
      </w:tr>
    </w:tbl>
    <w:p>
      <w:pPr>
        <w:pStyle w:val="Heading1"/>
        <w:keepNext/>
      </w:pPr>
      <w:r>
        <w:t>4. Execution rules</w:t>
      </w:r>
    </w:p>
    <w:p>
      <w:pPr>
        <w:pStyle w:val="ListBullet"/>
      </w:pPr>
      <w:r>
        <w:rPr>
          <w:rFonts w:ascii="Calibri" w:hAnsi="Calibri"/>
        </w:rPr>
        <w:t>Inspect before editing. Capture the starting state and commands used before changing controlled files.</w:t>
      </w:r>
    </w:p>
    <w:p>
      <w:pPr>
        <w:pStyle w:val="ListBullet"/>
      </w:pPr>
      <w:r>
        <w:rPr>
          <w:rFonts w:ascii="Calibri" w:hAnsi="Calibri"/>
        </w:rPr>
        <w:t>Preserve issued IDs and history. Supersede or split records; never silently delete, recycle, or renumber them.</w:t>
      </w:r>
    </w:p>
    <w:p>
      <w:pPr>
        <w:pStyle w:val="ListBullet"/>
      </w:pPr>
      <w:r>
        <w:rPr>
          <w:rFonts w:ascii="Calibri" w:hAnsi="Calibri"/>
        </w:rPr>
        <w:t>Use primary evidence. A generated registry, manifest, or verifier output may not prove its own correctness.</w:t>
      </w:r>
    </w:p>
    <w:p>
      <w:pPr>
        <w:pStyle w:val="ListBullet"/>
      </w:pPr>
      <w:r>
        <w:rPr>
          <w:rFonts w:ascii="Calibri" w:hAnsi="Calibri"/>
        </w:rPr>
        <w:t>Do not regenerate expected values from the mutated subject and then call the comparison successful.</w:t>
      </w:r>
    </w:p>
    <w:p>
      <w:pPr>
        <w:pStyle w:val="ListBullet"/>
      </w:pPr>
      <w:r>
        <w:rPr>
          <w:rFonts w:ascii="Calibri" w:hAnsi="Calibri"/>
        </w:rPr>
        <w:t>Record tool names and exact versions. If a method differs from the approved or pinned toolchain, document and justify it before relying on its output.</w:t>
      </w:r>
    </w:p>
    <w:p>
      <w:pPr>
        <w:pStyle w:val="ListBullet"/>
      </w:pPr>
      <w:r>
        <w:rPr>
          <w:rFonts w:ascii="Calibri" w:hAnsi="Calibri"/>
        </w:rPr>
        <w:t>Keep remediation bounded to this order. Do not create a general Phase 1.5 workstream or expand the architecture. A newly discovered defect may expand work only when primary evidence shows it is Critical or High and directly blocks a trustworthy Phase 1 checkpoint; otherwise record it for the correct future phase.</w:t>
      </w:r>
    </w:p>
    <w:p>
      <w:pPr>
        <w:pStyle w:val="ListBullet"/>
      </w:pPr>
      <w:r>
        <w:rPr>
          <w:rFonts w:ascii="Calibri" w:hAnsi="Calibri"/>
        </w:rPr>
        <w:t>No placeholders, canned results, narrated hashes, suppressed errors, or ‘pass with exceptions’ language.</w:t>
      </w:r>
    </w:p>
    <w:p>
      <w:pPr>
        <w:pStyle w:val="ListBullet"/>
      </w:pPr>
      <w:r>
        <w:rPr>
          <w:rFonts w:ascii="Calibri" w:hAnsi="Calibri"/>
        </w:rPr>
        <w:t>A nonzero process exit is not automatically a valid mutation catch. The expected named check must identify the intended defect.</w:t>
      </w:r>
    </w:p>
    <w:p>
      <w:pPr>
        <w:pStyle w:val="Heading1"/>
        <w:keepNext/>
      </w:pPr>
      <w:r>
        <w:t>5. Ordered work packages</w:t>
      </w:r>
    </w:p>
    <w:p>
      <w:r>
        <w:rPr>
          <w:rFonts w:ascii="Calibri" w:hAnsi="Calibri"/>
          <w:i w:val="0"/>
        </w:rPr>
        <w:t>Perform the following work packages in order. Parallel read-only analysis is allowed, but controlled files shall have one owner at a time. Do not advance past a work package while its evidence is internally contradictory.</w:t>
      </w:r>
    </w:p>
    <w:p>
      <w:pPr>
        <w:pStyle w:val="Heading2"/>
        <w:keepNext/>
      </w:pPr>
      <w:r>
        <w:t>5.1 WP-0A — Preserve and characterize the starting state</w:t>
      </w:r>
    </w:p>
    <w:p>
      <w:pPr>
        <w:pStyle w:val="ListBullet"/>
      </w:pPr>
      <w:r>
        <w:rPr>
          <w:rFonts w:ascii="Calibri" w:hAnsi="Calibri"/>
        </w:rPr>
        <w:t>Locate the real repository root and canonical supplied sources. Record absolute paths without moving or renaming anything.</w:t>
      </w:r>
    </w:p>
    <w:p>
      <w:pPr>
        <w:pStyle w:val="ListBullet"/>
      </w:pPr>
      <w:r>
        <w:rPr>
          <w:rFonts w:ascii="Calibri" w:hAnsi="Calibri"/>
        </w:rPr>
        <w:t>Capture Git status, presence or absence of HEAD/remotes/tags, tracked and untracked inventories, ignored/generated residue, file counts, and working-tree status.</w:t>
      </w:r>
    </w:p>
    <w:p>
      <w:pPr>
        <w:pStyle w:val="ListBullet"/>
      </w:pPr>
      <w:r>
        <w:rPr>
          <w:rFonts w:ascii="Calibri" w:hAnsi="Calibri"/>
        </w:rPr>
        <w:t>Capture exact versions of Git, Python, Node, pnpm, Rust/Cargo, document-rendering tools, and every interpreter used by the verifier.</w:t>
      </w:r>
    </w:p>
    <w:p>
      <w:pPr>
        <w:pStyle w:val="ListBullet"/>
      </w:pPr>
      <w:r>
        <w:rPr>
          <w:rFonts w:ascii="Calibri" w:hAnsi="Calibri"/>
        </w:rPr>
        <w:t>Create a read-only pre-remediation inventory with relative path, byte length, and SHA-256 for every in-scope controlled file. Store it as evidence, not as the trusted acceptance baseline.</w:t>
      </w:r>
    </w:p>
    <w:p>
      <w:pPr>
        <w:pStyle w:val="ListBullet"/>
      </w:pPr>
      <w:r>
        <w:rPr>
          <w:rFonts w:ascii="Calibri" w:hAnsi="Calibri"/>
        </w:rPr>
        <w:t>Preserve existing audit fragments and scratch evidence until their contents are integrated or explicitly declared unrecoverable. Correct any report statement that claims cleanup occurred when it did not.</w:t>
      </w:r>
    </w:p>
    <w:p>
      <w:pPr>
        <w:pStyle w:val="Heading2"/>
        <w:keepNext/>
      </w:pPr>
      <w:r>
        <w:t>5.2 WP-0B — Finish the adversarial audit</w:t>
      </w:r>
    </w:p>
    <w:p>
      <w:r>
        <w:rPr>
          <w:rFonts w:ascii="Calibri" w:hAnsi="Calibri"/>
          <w:i w:val="0"/>
        </w:rPr>
        <w:t>Complete the existing audit rather than starting a new audit framework. The final audit shall contain:</w:t>
      </w:r>
    </w:p>
    <w:p>
      <w:pPr>
        <w:pStyle w:val="ListBullet"/>
      </w:pPr>
      <w:r>
        <w:rPr>
          <w:rFonts w:ascii="Calibri" w:hAnsi="Calibri"/>
        </w:rPr>
        <w:t>Tasks 1 through 8 in full, with methods, populations, selectors, raw commands, tool versions, results, limitations, and reproducible evidence references.</w:t>
      </w:r>
    </w:p>
    <w:p>
      <w:pPr>
        <w:pStyle w:val="ListBullet"/>
      </w:pPr>
      <w:r>
        <w:rPr>
          <w:rFonts w:ascii="Calibri" w:hAnsi="Calibri"/>
        </w:rPr>
        <w:t>A populated defect table with stable defect ID, severity, source anchor, affected artifact, evidence, required fix, owner, status, and verification result.</w:t>
      </w:r>
    </w:p>
    <w:p>
      <w:pPr>
        <w:pStyle w:val="ListBullet"/>
      </w:pPr>
      <w:r>
        <w:rPr>
          <w:rFonts w:ascii="Calibri" w:hAnsi="Calibri"/>
        </w:rPr>
        <w:t>The complete 546-unit recall ledger, including the text and disposition of all 48 currently reported unmapped units.</w:t>
      </w:r>
    </w:p>
    <w:p>
      <w:pPr>
        <w:pStyle w:val="ListBullet"/>
      </w:pPr>
      <w:r>
        <w:rPr>
          <w:rFonts w:ascii="Calibri" w:hAnsi="Calibri"/>
        </w:rPr>
        <w:t>The complete list of the 20 compound records and the clauses that make each record non-atomic.</w:t>
      </w:r>
    </w:p>
    <w:p>
      <w:pPr>
        <w:pStyle w:val="ListBullet"/>
      </w:pPr>
      <w:r>
        <w:rPr>
          <w:rFonts w:ascii="Calibri" w:hAnsi="Calibri"/>
        </w:rPr>
        <w:t>The complete 163-check classification table with check ID, requirement anchor, class, rationale, implementation, and what the check can and cannot prove.</w:t>
      </w:r>
    </w:p>
    <w:p>
      <w:pPr>
        <w:pStyle w:val="ListBullet"/>
      </w:pPr>
      <w:r>
        <w:rPr>
          <w:rFonts w:ascii="Calibri" w:hAnsi="Calibri"/>
        </w:rPr>
        <w:t>The complete twelve-case mutation table with mutation, target, expected detecting check, actual detecting check, process exit, output, and pass/fail result.</w:t>
      </w:r>
    </w:p>
    <w:p>
      <w:pPr>
        <w:pStyle w:val="ListBullet"/>
      </w:pPr>
      <w:r>
        <w:rPr>
          <w:rFonts w:ascii="Calibri" w:hAnsi="Calibri"/>
        </w:rPr>
        <w:t>The Task 8 interpretation and gap-filling log verbatim, including all reported entries and their authority or unresolved status.</w:t>
      </w:r>
    </w:p>
    <w:p>
      <w:pPr>
        <w:pStyle w:val="ListBullet"/>
      </w:pPr>
      <w:r>
        <w:rPr>
          <w:rFonts w:ascii="Calibri" w:hAnsi="Calibri"/>
        </w:rPr>
        <w:t>A Not Verifiable section, final defect count, final gate verdict, and explicit preconditions for Phase 2.</w:t>
      </w:r>
    </w:p>
    <w:p>
      <w:pPr>
        <w:pStyle w:val="ListBullet"/>
      </w:pPr>
      <w:r>
        <w:rPr>
          <w:rFonts w:ascii="Calibri" w:hAnsi="Calibri"/>
        </w:rPr>
        <w:t>No placeholder tokens, missing sections, promised-but-absent console output, or claims contradicted by current filesystem state.</w:t>
      </w:r>
    </w:p>
    <w:p>
      <w:pPr>
        <w:pStyle w:val="Heading2"/>
        <w:keepNext/>
      </w:pPr>
      <w:r>
        <w:t>5.3 WP-0C — Reconcile source recall and atomicity</w:t>
      </w:r>
    </w:p>
    <w:p>
      <w:pPr>
        <w:pStyle w:val="ListBullet"/>
      </w:pPr>
      <w:r>
        <w:rPr>
          <w:rFonts w:ascii="Calibri" w:hAnsi="Calibri"/>
        </w:rPr>
        <w:t>Reproduce the 546-unit reverse walk independently from the requirement registry. If the count differs, preserve both results and explain the method difference before proceeding.</w:t>
      </w:r>
    </w:p>
    <w:p>
      <w:pPr>
        <w:pStyle w:val="ListBullet"/>
      </w:pPr>
      <w:r>
        <w:rPr>
          <w:rFonts w:ascii="Calibri" w:hAnsi="Calibri"/>
        </w:rPr>
        <w:t>For each of the 48 reported unmapped units, choose MAPPED or EXCLUDED. MAPPED requires an atomic requirement ID, exact source anchor, traceability, and acceptance method. EXCLUDED requires a specific finding that the unit is non-normative or out of this Phase 1 registry’s legitimate scope.</w:t>
      </w:r>
    </w:p>
    <w:p>
      <w:pPr>
        <w:pStyle w:val="ListBullet"/>
      </w:pPr>
      <w:r>
        <w:rPr>
          <w:rFonts w:ascii="Calibri" w:hAnsi="Calibri"/>
        </w:rPr>
        <w:t>Codex may not exclude a product, safety, security, clean-room, or physical-isolation obligation. Any proposed exclusion that changes product intent must be presented to Scott and blocks the gate until decided.</w:t>
      </w:r>
    </w:p>
    <w:p>
      <w:pPr>
        <w:pStyle w:val="ListBullet"/>
      </w:pPr>
      <w:r>
        <w:rPr>
          <w:rFonts w:ascii="Calibri" w:hAnsi="Calibri"/>
        </w:rPr>
        <w:t>Split every confirmed compound record into atomic child requirements. Preserve the original issued ID as a superseded parent or lineage record; issue children under the repository’s stable-ID policy; update every matrix, risk, decision, test, and evidence reference.</w:t>
      </w:r>
    </w:p>
    <w:p>
      <w:pPr>
        <w:pStyle w:val="ListBullet"/>
      </w:pPr>
      <w:r>
        <w:rPr>
          <w:rFonts w:ascii="Calibri" w:hAnsi="Calibri"/>
        </w:rPr>
        <w:t>Correct PES-REQ-0003 so its source text is faithful. Preserve the defect history and update dependent hashes and mappings.</w:t>
      </w:r>
    </w:p>
    <w:p>
      <w:pPr>
        <w:pStyle w:val="ListBullet"/>
      </w:pPr>
      <w:r>
        <w:rPr>
          <w:rFonts w:ascii="Calibri" w:hAnsi="Calibri"/>
        </w:rPr>
        <w:t>Recalculate and reconcile totals after remediation. Publish atomic requirement count, issued-ID count, statement-unit count, and relationship count as distinct quantities.</w:t>
      </w:r>
    </w:p>
    <w:p>
      <w:pPr>
        <w:pStyle w:val="Heading2"/>
        <w:keepNext/>
      </w:pPr>
      <w:r>
        <w:t>5.4 WP-0D — Repair verifier independence and mutation behavior</w:t>
      </w:r>
    </w:p>
    <w:p>
      <w:pPr>
        <w:pStyle w:val="ListBullet"/>
      </w:pPr>
      <w:r>
        <w:rPr>
          <w:rFonts w:ascii="Calibri" w:hAnsi="Calibri"/>
        </w:rPr>
        <w:t>Retain useful structural and tautological hygiene checks, but label them accurately and never cite them as independent compliance evidence.</w:t>
      </w:r>
    </w:p>
    <w:p>
      <w:pPr>
        <w:pStyle w:val="ListBullet"/>
      </w:pPr>
      <w:r>
        <w:rPr>
          <w:rFonts w:ascii="Calibri" w:hAnsi="Calibri"/>
        </w:rPr>
        <w:t>Add or repair independent derived checks for every safety-, traceability-, integrity-, and gate-critical obligation that currently relies only on structure or self-authored declarations.</w:t>
      </w:r>
    </w:p>
    <w:p>
      <w:pPr>
        <w:pStyle w:val="ListBullet"/>
      </w:pPr>
      <w:r>
        <w:rPr>
          <w:rFonts w:ascii="Calibri" w:hAnsi="Calibri"/>
        </w:rPr>
        <w:t>Repair the five reported escapes: .editorconfig byte alteration; unauthorized https://example.com; unauthorized localhost:8080; unapproved Siemens TIA Portal user-facing text; and closure of an open risk without evidence.</w:t>
      </w:r>
    </w:p>
    <w:p>
      <w:pPr>
        <w:pStyle w:val="ListBullet"/>
      </w:pPr>
      <w:r>
        <w:rPr>
          <w:rFonts w:ascii="Calibri" w:hAnsi="Calibri"/>
        </w:rPr>
        <w:t>Replace the ADR-deletion ENOENT crash with a controlled named verifier failure that identifies the missing ADR and returns the documented failure code.</w:t>
      </w:r>
    </w:p>
    <w:p>
      <w:pPr>
        <w:pStyle w:val="ListBullet"/>
      </w:pPr>
      <w:r>
        <w:rPr>
          <w:rFonts w:ascii="Calibri" w:hAnsi="Calibri"/>
        </w:rPr>
        <w:t>Use explicit allowlists and file scopes where appropriate. Research/legal provenance may contain external URLs or trademarks; product runtime, user-facing product strings, and controlled configuration may not gain unauthorized entries merely because reference documents contain them.</w:t>
      </w:r>
    </w:p>
    <w:p>
      <w:pPr>
        <w:pStyle w:val="ListBullet"/>
      </w:pPr>
      <w:r>
        <w:rPr>
          <w:rFonts w:ascii="Calibri" w:hAnsi="Calibri"/>
        </w:rPr>
        <w:t>Run each mutation in a fresh isolated copy against one immutable unmodified baseline, one mutation at a time. Clean up only after evidence is captured.</w:t>
      </w:r>
    </w:p>
    <w:p>
      <w:pPr>
        <w:pStyle w:val="ListBullet"/>
      </w:pPr>
      <w:r>
        <w:rPr>
          <w:rFonts w:ascii="Calibri" w:hAnsi="Calibri"/>
        </w:rPr>
        <w:t>A mutation passes only when its intended named check detects the intended change. Universal environment failures, parser crashes, unrelated failures, or generic nonzero exits do not count.</w:t>
      </w:r>
    </w:p>
    <w:p>
      <w:pPr>
        <w:pStyle w:val="ListBullet"/>
      </w:pPr>
      <w:r>
        <w:rPr>
          <w:rFonts w:ascii="Calibri" w:hAnsi="Calibri"/>
        </w:rPr>
        <w:t>Achieve 12/12 intended detections and demonstrate that the unmodified baseline passes the same suite.</w:t>
      </w:r>
    </w:p>
    <w:p>
      <w:pPr>
        <w:pStyle w:val="Heading2"/>
        <w:keepNext/>
      </w:pPr>
      <w:r>
        <w:t>5.5 WP-0E — Resolve hashes, filenames, and reproducibility</w:t>
      </w:r>
    </w:p>
    <w:p>
      <w:pPr>
        <w:pStyle w:val="ListBullet"/>
      </w:pPr>
      <w:r>
        <w:rPr>
          <w:rFonts w:ascii="Calibri" w:hAnsi="Calibri"/>
        </w:rPr>
        <w:t>Recompute the malformed render-text digest from the exact hashed artifact using a named command. Preserve the raw command, raw output, file path, byte length, normalizer/export procedure, and tool versions. The accepted SHA-256 must contain exactly 64 hexadecimal characters.</w:t>
      </w:r>
    </w:p>
    <w:p>
      <w:pPr>
        <w:pStyle w:val="ListBullet"/>
      </w:pPr>
      <w:r>
        <w:rPr>
          <w:rFonts w:ascii="Calibri" w:hAnsi="Calibri"/>
        </w:rPr>
        <w:t>If the original 62-character value cannot be reproduced, mark it as a defective recorded value, replace it with the verified digest, and explain the discrepancy. Do not speculate about fabrication without evidence.</w:t>
      </w:r>
    </w:p>
    <w:p>
      <w:pPr>
        <w:pStyle w:val="ListBullet"/>
      </w:pPr>
      <w:r>
        <w:rPr>
          <w:rFonts w:ascii="Calibri" w:hAnsi="Calibri"/>
        </w:rPr>
        <w:t>Treat the filenames on this order’s cover as canonical. Update document control, source pointers, manifests, and registry references through a recorded change. Do not silently rename or duplicate authoritative sources.</w:t>
      </w:r>
    </w:p>
    <w:p>
      <w:pPr>
        <w:pStyle w:val="ListBullet"/>
      </w:pPr>
      <w:r>
        <w:rPr>
          <w:rFonts w:ascii="Calibri" w:hAnsi="Calibri"/>
        </w:rPr>
        <w:t>Verify the two supplied source hashes independently and ensure every record points to the correct canonical filename and digest.</w:t>
      </w:r>
    </w:p>
    <w:p>
      <w:pPr>
        <w:pStyle w:val="ListBullet"/>
      </w:pPr>
      <w:r>
        <w:rPr>
          <w:rFonts w:ascii="Calibri" w:hAnsi="Calibri"/>
        </w:rPr>
        <w:t>Document rendering differences, such as Microsoft Word versus LibreOffice page counts, as renderer-specific facts. Do not use page count alone as proof of content identity.</w:t>
      </w:r>
    </w:p>
    <w:p>
      <w:pPr>
        <w:pStyle w:val="Heading2"/>
        <w:keepNext/>
      </w:pPr>
      <w:r>
        <w:t>5.6 WP-0F — Establish a trusted Git and CI baseline</w:t>
      </w:r>
    </w:p>
    <w:p>
      <w:pPr>
        <w:pStyle w:val="ListBullet"/>
      </w:pPr>
      <w:r>
        <w:rPr>
          <w:rFonts w:ascii="Calibri" w:hAnsi="Calibri"/>
        </w:rPr>
        <w:t>If the repository has no Git history, initialize a local repository after the pre-remediation evidence snapshot. Track the legitimate existing Phase 1 artifacts, create a pre-remediation commit and local annotated tag phase1-pre-remediation-v1, then make repairs in subsequent commits. No remote creation, publication, push, or credential use is authorized.</w:t>
      </w:r>
    </w:p>
    <w:p>
      <w:pPr>
        <w:pStyle w:val="ListBullet"/>
      </w:pPr>
      <w:r>
        <w:rPr>
          <w:rFonts w:ascii="Calibri" w:hAnsi="Calibri"/>
        </w:rPr>
        <w:t>If Git identity is not configured, use repository-local identity Codex Automation &lt;codex@local.invalid&gt;, disclose it in the closure report, and do not alter global Git configuration.</w:t>
      </w:r>
    </w:p>
    <w:p>
      <w:pPr>
        <w:pStyle w:val="ListBullet"/>
      </w:pPr>
      <w:r>
        <w:rPr>
          <w:rFonts w:ascii="Calibri" w:hAnsi="Calibri"/>
        </w:rPr>
        <w:t>Define an intentional .gitignore, then track every required source, governance, configuration, test, lock, and evidence file. Document every intentionally ignored class.</w:t>
      </w:r>
    </w:p>
    <w:p>
      <w:pPr>
        <w:pStyle w:val="ListBullet"/>
      </w:pPr>
      <w:r>
        <w:rPr>
          <w:rFonts w:ascii="Calibri" w:hAnsi="Calibri"/>
        </w:rPr>
        <w:t>Make the verifier consume an approved committed baseline or separately protected expected manifest. It must compare the subject against trusted expected values; it may not recalculate the expected manifest from the subject under test.</w:t>
      </w:r>
    </w:p>
    <w:p>
      <w:pPr>
        <w:pStyle w:val="ListBullet"/>
      </w:pPr>
      <w:r>
        <w:rPr>
          <w:rFonts w:ascii="Calibri" w:hAnsi="Calibri"/>
        </w:rPr>
        <w:t>Activate the existing CI proposal or replace it with the smallest executable equivalent. The same documented local command and CI workflow must run the closure verifier, schema checks, tests, and mutation gate without silently skipping unavailable tools.</w:t>
      </w:r>
    </w:p>
    <w:p>
      <w:pPr>
        <w:pStyle w:val="ListBullet"/>
      </w:pPr>
      <w:r>
        <w:rPr>
          <w:rFonts w:ascii="Calibri" w:hAnsi="Calibri"/>
        </w:rPr>
        <w:t>Keep the gate offline and deterministic after dependencies are present. Do not introduce physical-device, industrial-protocol, discovery, or network-runtime capability.</w:t>
      </w:r>
    </w:p>
    <w:p>
      <w:pPr>
        <w:pStyle w:val="ListBullet"/>
      </w:pPr>
      <w:r>
        <w:rPr>
          <w:rFonts w:ascii="Calibri" w:hAnsi="Calibri"/>
        </w:rPr>
        <w:t>After all fixes pass, create one clean closure-candidate commit and local annotated tag named phase1-closure-candidate-v1. Record their IDs in the closure report. Do not label the candidate accepted or final, and do not tag a blocked or dirty state.</w:t>
      </w:r>
    </w:p>
    <w:p>
      <w:pPr>
        <w:pStyle w:val="Heading2"/>
        <w:keepNext/>
      </w:pPr>
      <w:r>
        <w:t>5.7 WP-0G — Prove the minimal Phase 1 technical foundation</w:t>
      </w:r>
    </w:p>
    <w:p>
      <w:pPr>
        <w:pStyle w:val="ListBullet"/>
      </w:pPr>
      <w:r>
        <w:rPr>
          <w:rFonts w:ascii="Calibri" w:hAnsi="Calibri"/>
        </w:rPr>
        <w:t>Replace the reported empty workspace scaffolding with the smallest real foundation already authorized by Phase 1. Do not implement PLC-domain features.</w:t>
      </w:r>
    </w:p>
    <w:p>
      <w:pPr>
        <w:pStyle w:val="ListBullet"/>
      </w:pPr>
      <w:r>
        <w:rPr>
          <w:rFonts w:ascii="Calibri" w:hAnsi="Calibri"/>
        </w:rPr>
        <w:t>From the pinned lockfiles and toolchain, demonstrate a clean dependency install or documented offline restore, followed by successful build, lint/typecheck, and automated tests for the TypeScript/React and Rust/WASM workspaces.</w:t>
      </w:r>
    </w:p>
    <w:p>
      <w:pPr>
        <w:pStyle w:val="ListBullet"/>
      </w:pPr>
      <w:r>
        <w:rPr>
          <w:rFonts w:ascii="Calibri" w:hAnsi="Calibri"/>
        </w:rPr>
        <w:t>Launch the local application shell through the approved non-network runtime mechanism. It must show a deliberately minimal foundation screen, not a simulated PLC interface or placeholder pretending that later features exist.</w:t>
      </w:r>
    </w:p>
    <w:p>
      <w:pPr>
        <w:pStyle w:val="ListBullet"/>
      </w:pPr>
      <w:r>
        <w:rPr>
          <w:rFonts w:ascii="Calibri" w:hAnsi="Calibri"/>
        </w:rPr>
        <w:t>Implement one typed foundation health command that travels from the UI through the domain-command boundary, into the worker boundary, through a real Rust/WASM function, and returns a deterministic structured result containing at least schema version, build identity, and fixed health state. The UI must render the returned value; a hard-coded UI constant does not pass.</w:t>
      </w:r>
    </w:p>
    <w:p>
      <w:pPr>
        <w:pStyle w:val="ListBullet"/>
      </w:pPr>
      <w:r>
        <w:rPr>
          <w:rFonts w:ascii="Calibri" w:hAnsi="Calibri"/>
        </w:rPr>
        <w:t>Test the complete round trip at unit and integration level, including validation of the DomainResult envelope and deterministic repeated output.</w:t>
      </w:r>
    </w:p>
    <w:p>
      <w:pPr>
        <w:pStyle w:val="ListBullet"/>
      </w:pPr>
      <w:r>
        <w:rPr>
          <w:rFonts w:ascii="Calibri" w:hAnsi="Calibri"/>
        </w:rPr>
        <w:t>Prove the shell cannot use physical industrial interfaces. Tests and static checks shall fail on unauthorized fetch, WebSocket, TCP/UDP, serial, USB, HID, Bluetooth, industrial-protocol, device-discovery, or hardware-enumeration paths outside explicitly approved build tooling.</w:t>
      </w:r>
    </w:p>
    <w:p>
      <w:pPr>
        <w:pStyle w:val="ListBullet"/>
      </w:pPr>
      <w:r>
        <w:rPr>
          <w:rFonts w:ascii="Calibri" w:hAnsi="Calibri"/>
        </w:rPr>
        <w:t>Document the exact install, build, test, and launch commands. They must run from a clean checkout of the closure candidate without manual file edits or skipped steps.</w:t>
      </w:r>
    </w:p>
    <w:p>
      <w:pPr>
        <w:pStyle w:val="Heading2"/>
        <w:keepNext/>
      </w:pPr>
      <w:r>
        <w:t>5.8 WP-0H — Independent final rerun and closure decision</w:t>
      </w:r>
    </w:p>
    <w:p>
      <w:pPr>
        <w:pStyle w:val="ListBullet"/>
      </w:pPr>
      <w:r>
        <w:rPr>
          <w:rFonts w:ascii="Calibri" w:hAnsi="Calibri"/>
        </w:rPr>
        <w:t>Run the full gate from a clean checkout of the proposed closure commit using the pinned toolchain and documented commands.</w:t>
      </w:r>
    </w:p>
    <w:p>
      <w:pPr>
        <w:pStyle w:val="ListBullet"/>
      </w:pPr>
      <w:r>
        <w:rPr>
          <w:rFonts w:ascii="Calibri" w:hAnsi="Calibri"/>
        </w:rPr>
        <w:t>Run a separate read-only review of the final audit, requirement reconciliation, manifests, mutation results, Git state, CI configuration, and safety invariants. The reviewer may not use the same generated report as its sole evidence.</w:t>
      </w:r>
    </w:p>
    <w:p>
      <w:pPr>
        <w:pStyle w:val="ListBullet"/>
      </w:pPr>
      <w:r>
        <w:rPr>
          <w:rFonts w:ascii="Calibri" w:hAnsi="Calibri"/>
        </w:rPr>
        <w:t>Confirm that the repository contains no Phase 2 product implementation and no physical communication capability.</w:t>
      </w:r>
    </w:p>
    <w:p>
      <w:pPr>
        <w:pStyle w:val="ListBullet"/>
      </w:pPr>
      <w:r>
        <w:rPr>
          <w:rFonts w:ascii="Calibri" w:hAnsi="Calibri"/>
        </w:rPr>
        <w:t>Resolve every Critical or High defect. Medium or Low findings may remain only with an explicit disposition, owner, evidence, and proof that they cannot invalidate safety, source fidelity, traceability, or gate correctness.</w:t>
      </w:r>
    </w:p>
    <w:p>
      <w:pPr>
        <w:pStyle w:val="ListBullet"/>
      </w:pPr>
      <w:r>
        <w:rPr>
          <w:rFonts w:ascii="Calibri" w:hAnsi="Calibri"/>
        </w:rPr>
        <w:t>Report READY FOR SCOTT REVIEW only if every mandatory gate below passes. Otherwise report BLOCKED and stop without creating the closure-candidate tag. Automated success is necessary but does not constitute Scott’s acceptance.</w:t>
      </w:r>
    </w:p>
    <w:p>
      <w:r>
        <w:br w:type="page"/>
      </w:r>
    </w:p>
    <w:p>
      <w:pPr>
        <w:pStyle w:val="Heading1"/>
        <w:keepNext/>
      </w:pPr>
      <w:r>
        <w:t>6. Mandatory closure gates</w:t>
      </w:r>
    </w:p>
    <w:tbl>
      <w:tblPr>
        <w:tblStyle w:val="TableGrid"/>
        <w:tblW w:type="dxa" w:w="9360"/>
        <w:jc w:val="left"/>
        <w:tblLayout w:type="fixed"/>
        <w:tblLook w:firstColumn="1" w:firstRow="1" w:lastColumn="0" w:lastRow="0" w:noHBand="0" w:noVBand="1" w:val="04A0"/>
        <w:tblInd w:w="120" w:type="dxa"/>
      </w:tblPr>
      <w:tblGrid>
        <w:gridCol w:w="1050"/>
        <w:gridCol w:w="5160"/>
        <w:gridCol w:w="3150"/>
      </w:tblGrid>
      <w:tr>
        <w:trPr>
          <w:tblHeader w:val="true"/>
          <w:cantSplit/>
        </w:trPr>
        <w:tc>
          <w:tcPr>
            <w:tcW w:type="dxa" w:w="1050"/>
            <w:shd w:fill="243B64"/>
            <w:tcMar>
              <w:top w:w="80" w:type="dxa"/>
              <w:start w:w="120" w:type="dxa"/>
              <w:bottom w:w="80" w:type="dxa"/>
              <w:end w:w="120" w:type="dxa"/>
            </w:tcMar>
            <w:vAlign w:val="center"/>
          </w:tcPr>
          <w:p>
            <w:r>
              <w:rPr>
                <w:rFonts w:ascii="Calibri" w:hAnsi="Calibri"/>
                <w:b/>
                <w:color w:val="FFFFFF"/>
              </w:rPr>
              <w:t>Gate</w:t>
            </w:r>
          </w:p>
        </w:tc>
        <w:tc>
          <w:tcPr>
            <w:tcW w:type="dxa" w:w="5160"/>
            <w:shd w:fill="243B64"/>
            <w:tcMar>
              <w:top w:w="80" w:type="dxa"/>
              <w:start w:w="120" w:type="dxa"/>
              <w:bottom w:w="80" w:type="dxa"/>
              <w:end w:w="120" w:type="dxa"/>
            </w:tcMar>
            <w:vAlign w:val="center"/>
          </w:tcPr>
          <w:p>
            <w:r>
              <w:rPr>
                <w:rFonts w:ascii="Calibri" w:hAnsi="Calibri"/>
                <w:b/>
                <w:color w:val="FFFFFF"/>
              </w:rPr>
              <w:t>Pass condition</w:t>
            </w:r>
          </w:p>
        </w:tc>
        <w:tc>
          <w:tcPr>
            <w:tcW w:type="dxa" w:w="3150"/>
            <w:shd w:fill="243B64"/>
            <w:tcMar>
              <w:top w:w="80" w:type="dxa"/>
              <w:start w:w="120" w:type="dxa"/>
              <w:bottom w:w="80" w:type="dxa"/>
              <w:end w:w="120" w:type="dxa"/>
            </w:tcMar>
            <w:vAlign w:val="center"/>
          </w:tcPr>
          <w:p>
            <w:r>
              <w:rPr>
                <w:rFonts w:ascii="Calibri" w:hAnsi="Calibri"/>
                <w:b/>
                <w:color w:val="FFFFFF"/>
              </w:rPr>
              <w:t>Required evidence</w:t>
            </w:r>
          </w:p>
        </w:tc>
      </w:tr>
      <w:tr>
        <w:trPr>
          <w:cantSplit/>
        </w:trPr>
        <w:tc>
          <w:tcPr>
            <w:tcW w:type="dxa" w:w="1050"/>
            <w:shd w:fill="F2F4F7"/>
            <w:tcMar>
              <w:top w:w="80" w:type="dxa"/>
              <w:start w:w="120" w:type="dxa"/>
              <w:bottom w:w="80" w:type="dxa"/>
              <w:end w:w="120" w:type="dxa"/>
            </w:tcMar>
            <w:vAlign w:val="center"/>
          </w:tcPr>
          <w:p>
            <w:r>
              <w:rPr>
                <w:rFonts w:ascii="Calibri" w:hAnsi="Calibri"/>
                <w:b/>
                <w:color w:val="162033"/>
              </w:rPr>
              <w:t>G0-01</w:t>
            </w:r>
          </w:p>
        </w:tc>
        <w:tc>
          <w:tcPr>
            <w:tcW w:type="dxa" w:w="5160"/>
            <w:shd w:fill="F2F4F7"/>
            <w:tcMar>
              <w:top w:w="80" w:type="dxa"/>
              <w:start w:w="120" w:type="dxa"/>
              <w:bottom w:w="80" w:type="dxa"/>
              <w:end w:w="120" w:type="dxa"/>
            </w:tcMar>
            <w:vAlign w:val="center"/>
          </w:tcPr>
          <w:p>
            <w:r>
              <w:rPr>
                <w:rFonts w:ascii="Calibri" w:hAnsi="Calibri"/>
                <w:b w:val="0"/>
                <w:color w:val="162033"/>
              </w:rPr>
              <w:t>Canonical sources match their approved 64-character hashes.</w:t>
            </w:r>
          </w:p>
        </w:tc>
        <w:tc>
          <w:tcPr>
            <w:tcW w:type="dxa" w:w="3150"/>
            <w:shd w:fill="F2F4F7"/>
            <w:tcMar>
              <w:top w:w="80" w:type="dxa"/>
              <w:start w:w="120" w:type="dxa"/>
              <w:bottom w:w="80" w:type="dxa"/>
              <w:end w:w="120" w:type="dxa"/>
            </w:tcMar>
            <w:vAlign w:val="center"/>
          </w:tcPr>
          <w:p>
            <w:r>
              <w:rPr>
                <w:rFonts w:ascii="Calibri" w:hAnsi="Calibri"/>
                <w:b w:val="0"/>
                <w:color w:val="162033"/>
              </w:rPr>
              <w:t>Independent raw hash output and exact paths.</w:t>
            </w:r>
          </w:p>
        </w:tc>
      </w:tr>
      <w:tr>
        <w:trPr>
          <w:cantSplit/>
        </w:trPr>
        <w:tc>
          <w:tcPr>
            <w:tcW w:type="dxa" w:w="1050"/>
            <w:tcMar>
              <w:top w:w="80" w:type="dxa"/>
              <w:start w:w="120" w:type="dxa"/>
              <w:bottom w:w="80" w:type="dxa"/>
              <w:end w:w="120" w:type="dxa"/>
            </w:tcMar>
            <w:vAlign w:val="center"/>
          </w:tcPr>
          <w:p>
            <w:r>
              <w:rPr>
                <w:rFonts w:ascii="Calibri" w:hAnsi="Calibri"/>
                <w:b/>
                <w:color w:val="162033"/>
              </w:rPr>
              <w:t>G0-02</w:t>
            </w:r>
          </w:p>
        </w:tc>
        <w:tc>
          <w:tcPr>
            <w:tcW w:type="dxa" w:w="5160"/>
            <w:tcMar>
              <w:top w:w="80" w:type="dxa"/>
              <w:start w:w="120" w:type="dxa"/>
              <w:bottom w:w="80" w:type="dxa"/>
              <w:end w:w="120" w:type="dxa"/>
            </w:tcMar>
            <w:vAlign w:val="center"/>
          </w:tcPr>
          <w:p>
            <w:r>
              <w:rPr>
                <w:rFonts w:ascii="Calibri" w:hAnsi="Calibri"/>
                <w:b w:val="0"/>
                <w:color w:val="162033"/>
              </w:rPr>
              <w:t>The adversarial audit contains Tasks 1–8, all required tables, limitations, defects, and final verdict; no placeholders remain.</w:t>
            </w:r>
          </w:p>
        </w:tc>
        <w:tc>
          <w:tcPr>
            <w:tcW w:type="dxa" w:w="3150"/>
            <w:tcMar>
              <w:top w:w="80" w:type="dxa"/>
              <w:start w:w="120" w:type="dxa"/>
              <w:bottom w:w="80" w:type="dxa"/>
              <w:end w:w="120" w:type="dxa"/>
            </w:tcMar>
            <w:vAlign w:val="center"/>
          </w:tcPr>
          <w:p>
            <w:r>
              <w:rPr>
                <w:rFonts w:ascii="Calibri" w:hAnsi="Calibri"/>
                <w:b w:val="0"/>
                <w:color w:val="162033"/>
              </w:rPr>
              <w:t>Final Markdown audit plus visually checked DOCX export.</w:t>
            </w:r>
          </w:p>
        </w:tc>
      </w:tr>
      <w:tr>
        <w:trPr>
          <w:cantSplit/>
        </w:trPr>
        <w:tc>
          <w:tcPr>
            <w:tcW w:type="dxa" w:w="1050"/>
            <w:shd w:fill="F2F4F7"/>
            <w:tcMar>
              <w:top w:w="80" w:type="dxa"/>
              <w:start w:w="120" w:type="dxa"/>
              <w:bottom w:w="80" w:type="dxa"/>
              <w:end w:w="120" w:type="dxa"/>
            </w:tcMar>
            <w:vAlign w:val="center"/>
          </w:tcPr>
          <w:p>
            <w:r>
              <w:rPr>
                <w:rFonts w:ascii="Calibri" w:hAnsi="Calibri"/>
                <w:b/>
                <w:color w:val="162033"/>
              </w:rPr>
              <w:t>G0-03</w:t>
            </w:r>
          </w:p>
        </w:tc>
        <w:tc>
          <w:tcPr>
            <w:tcW w:type="dxa" w:w="5160"/>
            <w:shd w:fill="F2F4F7"/>
            <w:tcMar>
              <w:top w:w="80" w:type="dxa"/>
              <w:start w:w="120" w:type="dxa"/>
              <w:bottom w:w="80" w:type="dxa"/>
              <w:end w:w="120" w:type="dxa"/>
            </w:tcMar>
            <w:vAlign w:val="center"/>
          </w:tcPr>
          <w:p>
            <w:r>
              <w:rPr>
                <w:rFonts w:ascii="Calibri" w:hAnsi="Calibri"/>
                <w:b w:val="0"/>
                <w:color w:val="162033"/>
              </w:rPr>
              <w:t>Every normative statement unit is mapped or validly excluded; no unexplained recall gaps remain.</w:t>
            </w:r>
          </w:p>
        </w:tc>
        <w:tc>
          <w:tcPr>
            <w:tcW w:type="dxa" w:w="3150"/>
            <w:shd w:fill="F2F4F7"/>
            <w:tcMar>
              <w:top w:w="80" w:type="dxa"/>
              <w:start w:w="120" w:type="dxa"/>
              <w:bottom w:w="80" w:type="dxa"/>
              <w:end w:w="120" w:type="dxa"/>
            </w:tcMar>
            <w:vAlign w:val="center"/>
          </w:tcPr>
          <w:p>
            <w:r>
              <w:rPr>
                <w:rFonts w:ascii="Calibri" w:hAnsi="Calibri"/>
                <w:b w:val="0"/>
                <w:color w:val="162033"/>
              </w:rPr>
              <w:t>Complete recall ledger and reconciled counts.</w:t>
            </w:r>
          </w:p>
        </w:tc>
      </w:tr>
      <w:tr>
        <w:trPr>
          <w:cantSplit/>
        </w:trPr>
        <w:tc>
          <w:tcPr>
            <w:tcW w:type="dxa" w:w="1050"/>
            <w:tcMar>
              <w:top w:w="80" w:type="dxa"/>
              <w:start w:w="120" w:type="dxa"/>
              <w:bottom w:w="80" w:type="dxa"/>
              <w:end w:w="120" w:type="dxa"/>
            </w:tcMar>
            <w:vAlign w:val="center"/>
          </w:tcPr>
          <w:p>
            <w:r>
              <w:rPr>
                <w:rFonts w:ascii="Calibri" w:hAnsi="Calibri"/>
                <w:b/>
                <w:color w:val="162033"/>
              </w:rPr>
              <w:t>G0-04</w:t>
            </w:r>
          </w:p>
        </w:tc>
        <w:tc>
          <w:tcPr>
            <w:tcW w:type="dxa" w:w="5160"/>
            <w:tcMar>
              <w:top w:w="80" w:type="dxa"/>
              <w:start w:w="120" w:type="dxa"/>
              <w:bottom w:w="80" w:type="dxa"/>
              <w:end w:w="120" w:type="dxa"/>
            </w:tcMar>
            <w:vAlign w:val="center"/>
          </w:tcPr>
          <w:p>
            <w:r>
              <w:rPr>
                <w:rFonts w:ascii="Calibri" w:hAnsi="Calibri"/>
                <w:b w:val="0"/>
                <w:color w:val="162033"/>
              </w:rPr>
              <w:t>All confirmed compounds are split into atomic requirements with preserved lineage.</w:t>
            </w:r>
          </w:p>
        </w:tc>
        <w:tc>
          <w:tcPr>
            <w:tcW w:type="dxa" w:w="3150"/>
            <w:tcMar>
              <w:top w:w="80" w:type="dxa"/>
              <w:start w:w="120" w:type="dxa"/>
              <w:bottom w:w="80" w:type="dxa"/>
              <w:end w:w="120" w:type="dxa"/>
            </w:tcMar>
            <w:vAlign w:val="center"/>
          </w:tcPr>
          <w:p>
            <w:r>
              <w:rPr>
                <w:rFonts w:ascii="Calibri" w:hAnsi="Calibri"/>
                <w:b w:val="0"/>
                <w:color w:val="162033"/>
              </w:rPr>
              <w:t>Before/after mapping and stable-ID history.</w:t>
            </w:r>
          </w:p>
        </w:tc>
      </w:tr>
      <w:tr>
        <w:trPr>
          <w:cantSplit/>
        </w:trPr>
        <w:tc>
          <w:tcPr>
            <w:tcW w:type="dxa" w:w="1050"/>
            <w:shd w:fill="F2F4F7"/>
            <w:tcMar>
              <w:top w:w="80" w:type="dxa"/>
              <w:start w:w="120" w:type="dxa"/>
              <w:bottom w:w="80" w:type="dxa"/>
              <w:end w:w="120" w:type="dxa"/>
            </w:tcMar>
            <w:vAlign w:val="center"/>
          </w:tcPr>
          <w:p>
            <w:r>
              <w:rPr>
                <w:rFonts w:ascii="Calibri" w:hAnsi="Calibri"/>
                <w:b/>
                <w:color w:val="162033"/>
              </w:rPr>
              <w:t>G0-05</w:t>
            </w:r>
          </w:p>
        </w:tc>
        <w:tc>
          <w:tcPr>
            <w:tcW w:type="dxa" w:w="5160"/>
            <w:shd w:fill="F2F4F7"/>
            <w:tcMar>
              <w:top w:w="80" w:type="dxa"/>
              <w:start w:w="120" w:type="dxa"/>
              <w:bottom w:w="80" w:type="dxa"/>
              <w:end w:w="120" w:type="dxa"/>
            </w:tcMar>
            <w:vAlign w:val="center"/>
          </w:tcPr>
          <w:p>
            <w:r>
              <w:rPr>
                <w:rFonts w:ascii="Calibri" w:hAnsi="Calibri"/>
                <w:b w:val="0"/>
                <w:color w:val="162033"/>
              </w:rPr>
              <w:t>PES-REQ-0003 and every discovered source-fidelity drift are corrected and recorded.</w:t>
            </w:r>
          </w:p>
        </w:tc>
        <w:tc>
          <w:tcPr>
            <w:tcW w:type="dxa" w:w="3150"/>
            <w:shd w:fill="F2F4F7"/>
            <w:tcMar>
              <w:top w:w="80" w:type="dxa"/>
              <w:start w:w="120" w:type="dxa"/>
              <w:bottom w:w="80" w:type="dxa"/>
              <w:end w:w="120" w:type="dxa"/>
            </w:tcMar>
            <w:vAlign w:val="center"/>
          </w:tcPr>
          <w:p>
            <w:r>
              <w:rPr>
                <w:rFonts w:ascii="Calibri" w:hAnsi="Calibri"/>
                <w:b w:val="0"/>
                <w:color w:val="162033"/>
              </w:rPr>
              <w:t>Diff, source anchor, and verifier result.</w:t>
            </w:r>
          </w:p>
        </w:tc>
      </w:tr>
      <w:tr>
        <w:trPr>
          <w:cantSplit/>
        </w:trPr>
        <w:tc>
          <w:tcPr>
            <w:tcW w:type="dxa" w:w="1050"/>
            <w:tcMar>
              <w:top w:w="80" w:type="dxa"/>
              <w:start w:w="120" w:type="dxa"/>
              <w:bottom w:w="80" w:type="dxa"/>
              <w:end w:w="120" w:type="dxa"/>
            </w:tcMar>
            <w:vAlign w:val="center"/>
          </w:tcPr>
          <w:p>
            <w:r>
              <w:rPr>
                <w:rFonts w:ascii="Calibri" w:hAnsi="Calibri"/>
                <w:b/>
                <w:color w:val="162033"/>
              </w:rPr>
              <w:t>G0-06</w:t>
            </w:r>
          </w:p>
        </w:tc>
        <w:tc>
          <w:tcPr>
            <w:tcW w:type="dxa" w:w="5160"/>
            <w:tcMar>
              <w:top w:w="80" w:type="dxa"/>
              <w:start w:w="120" w:type="dxa"/>
              <w:bottom w:w="80" w:type="dxa"/>
              <w:end w:w="120" w:type="dxa"/>
            </w:tcMar>
            <w:vAlign w:val="center"/>
          </w:tcPr>
          <w:p>
            <w:r>
              <w:rPr>
                <w:rFonts w:ascii="Calibri" w:hAnsi="Calibri"/>
                <w:b w:val="0"/>
                <w:color w:val="162033"/>
              </w:rPr>
              <w:t>All twelve mutations are detected by their intended named checks; the clean baseline passes.</w:t>
            </w:r>
          </w:p>
        </w:tc>
        <w:tc>
          <w:tcPr>
            <w:tcW w:type="dxa" w:w="3150"/>
            <w:tcMar>
              <w:top w:w="80" w:type="dxa"/>
              <w:start w:w="120" w:type="dxa"/>
              <w:bottom w:w="80" w:type="dxa"/>
              <w:end w:w="120" w:type="dxa"/>
            </w:tcMar>
            <w:vAlign w:val="center"/>
          </w:tcPr>
          <w:p>
            <w:r>
              <w:rPr>
                <w:rFonts w:ascii="Calibri" w:hAnsi="Calibri"/>
                <w:b w:val="0"/>
                <w:color w:val="162033"/>
              </w:rPr>
              <w:t>Full mutation table, outputs, and isolated-run evidence.</w:t>
            </w:r>
          </w:p>
        </w:tc>
      </w:tr>
      <w:tr>
        <w:trPr>
          <w:cantSplit/>
        </w:trPr>
        <w:tc>
          <w:tcPr>
            <w:tcW w:type="dxa" w:w="1050"/>
            <w:shd w:fill="F2F4F7"/>
            <w:tcMar>
              <w:top w:w="80" w:type="dxa"/>
              <w:start w:w="120" w:type="dxa"/>
              <w:bottom w:w="80" w:type="dxa"/>
              <w:end w:w="120" w:type="dxa"/>
            </w:tcMar>
            <w:vAlign w:val="center"/>
          </w:tcPr>
          <w:p>
            <w:r>
              <w:rPr>
                <w:rFonts w:ascii="Calibri" w:hAnsi="Calibri"/>
                <w:b/>
                <w:color w:val="162033"/>
              </w:rPr>
              <w:t>G0-07</w:t>
            </w:r>
          </w:p>
        </w:tc>
        <w:tc>
          <w:tcPr>
            <w:tcW w:type="dxa" w:w="5160"/>
            <w:shd w:fill="F2F4F7"/>
            <w:tcMar>
              <w:top w:w="80" w:type="dxa"/>
              <w:start w:w="120" w:type="dxa"/>
              <w:bottom w:w="80" w:type="dxa"/>
              <w:end w:w="120" w:type="dxa"/>
            </w:tcMar>
            <w:vAlign w:val="center"/>
          </w:tcPr>
          <w:p>
            <w:r>
              <w:rPr>
                <w:rFonts w:ascii="Calibri" w:hAnsi="Calibri"/>
                <w:b w:val="0"/>
                <w:color w:val="162033"/>
              </w:rPr>
              <w:t>No mutation receives credit through a crash, unrelated failure, or universal environment error.</w:t>
            </w:r>
          </w:p>
        </w:tc>
        <w:tc>
          <w:tcPr>
            <w:tcW w:type="dxa" w:w="3150"/>
            <w:shd w:fill="F2F4F7"/>
            <w:tcMar>
              <w:top w:w="80" w:type="dxa"/>
              <w:start w:w="120" w:type="dxa"/>
              <w:bottom w:w="80" w:type="dxa"/>
              <w:end w:w="120" w:type="dxa"/>
            </w:tcMar>
            <w:vAlign w:val="center"/>
          </w:tcPr>
          <w:p>
            <w:r>
              <w:rPr>
                <w:rFonts w:ascii="Calibri" w:hAnsi="Calibri"/>
                <w:b w:val="0"/>
                <w:color w:val="162033"/>
              </w:rPr>
              <w:t>Expected-versus-actual detector and exit evidence.</w:t>
            </w:r>
          </w:p>
        </w:tc>
      </w:tr>
      <w:tr>
        <w:trPr>
          <w:cantSplit/>
        </w:trPr>
        <w:tc>
          <w:tcPr>
            <w:tcW w:type="dxa" w:w="1050"/>
            <w:tcMar>
              <w:top w:w="80" w:type="dxa"/>
              <w:start w:w="120" w:type="dxa"/>
              <w:bottom w:w="80" w:type="dxa"/>
              <w:end w:w="120" w:type="dxa"/>
            </w:tcMar>
            <w:vAlign w:val="center"/>
          </w:tcPr>
          <w:p>
            <w:r>
              <w:rPr>
                <w:rFonts w:ascii="Calibri" w:hAnsi="Calibri"/>
                <w:b/>
                <w:color w:val="162033"/>
              </w:rPr>
              <w:t>G0-08</w:t>
            </w:r>
          </w:p>
        </w:tc>
        <w:tc>
          <w:tcPr>
            <w:tcW w:type="dxa" w:w="5160"/>
            <w:tcMar>
              <w:top w:w="80" w:type="dxa"/>
              <w:start w:w="120" w:type="dxa"/>
              <w:bottom w:w="80" w:type="dxa"/>
              <w:end w:w="120" w:type="dxa"/>
            </w:tcMar>
            <w:vAlign w:val="center"/>
          </w:tcPr>
          <w:p>
            <w:r>
              <w:rPr>
                <w:rFonts w:ascii="Calibri" w:hAnsi="Calibri"/>
                <w:b w:val="0"/>
                <w:color w:val="162033"/>
              </w:rPr>
              <w:t>Integrity checks compare against a trusted immutable expected baseline, not a self-recomputed subject manifest.</w:t>
            </w:r>
          </w:p>
        </w:tc>
        <w:tc>
          <w:tcPr>
            <w:tcW w:type="dxa" w:w="3150"/>
            <w:tcMar>
              <w:top w:w="80" w:type="dxa"/>
              <w:start w:w="120" w:type="dxa"/>
              <w:bottom w:w="80" w:type="dxa"/>
              <w:end w:w="120" w:type="dxa"/>
            </w:tcMar>
            <w:vAlign w:val="center"/>
          </w:tcPr>
          <w:p>
            <w:r>
              <w:rPr>
                <w:rFonts w:ascii="Calibri" w:hAnsi="Calibri"/>
                <w:b w:val="0"/>
                <w:color w:val="162033"/>
              </w:rPr>
              <w:t>Verifier design evidence and tamper test.</w:t>
            </w:r>
          </w:p>
        </w:tc>
      </w:tr>
      <w:tr>
        <w:trPr>
          <w:cantSplit/>
        </w:trPr>
        <w:tc>
          <w:tcPr>
            <w:tcW w:type="dxa" w:w="1050"/>
            <w:shd w:fill="F2F4F7"/>
            <w:tcMar>
              <w:top w:w="80" w:type="dxa"/>
              <w:start w:w="120" w:type="dxa"/>
              <w:bottom w:w="80" w:type="dxa"/>
              <w:end w:w="120" w:type="dxa"/>
            </w:tcMar>
            <w:vAlign w:val="center"/>
          </w:tcPr>
          <w:p>
            <w:r>
              <w:rPr>
                <w:rFonts w:ascii="Calibri" w:hAnsi="Calibri"/>
                <w:b/>
                <w:color w:val="162033"/>
              </w:rPr>
              <w:t>G0-09</w:t>
            </w:r>
          </w:p>
        </w:tc>
        <w:tc>
          <w:tcPr>
            <w:tcW w:type="dxa" w:w="5160"/>
            <w:shd w:fill="F2F4F7"/>
            <w:tcMar>
              <w:top w:w="80" w:type="dxa"/>
              <w:start w:w="120" w:type="dxa"/>
              <w:bottom w:w="80" w:type="dxa"/>
              <w:end w:w="120" w:type="dxa"/>
            </w:tcMar>
            <w:vAlign w:val="center"/>
          </w:tcPr>
          <w:p>
            <w:r>
              <w:rPr>
                <w:rFonts w:ascii="Calibri" w:hAnsi="Calibri"/>
                <w:b w:val="0"/>
                <w:color w:val="162033"/>
              </w:rPr>
              <w:t>The malformed digest and filename conflicts are resolved through reproducible evidence and recorded change control.</w:t>
            </w:r>
          </w:p>
        </w:tc>
        <w:tc>
          <w:tcPr>
            <w:tcW w:type="dxa" w:w="3150"/>
            <w:shd w:fill="F2F4F7"/>
            <w:tcMar>
              <w:top w:w="80" w:type="dxa"/>
              <w:start w:w="120" w:type="dxa"/>
              <w:bottom w:w="80" w:type="dxa"/>
              <w:end w:w="120" w:type="dxa"/>
            </w:tcMar>
            <w:vAlign w:val="center"/>
          </w:tcPr>
          <w:p>
            <w:r>
              <w:rPr>
                <w:rFonts w:ascii="Calibri" w:hAnsi="Calibri"/>
                <w:b w:val="0"/>
                <w:color w:val="162033"/>
              </w:rPr>
              <w:t>Raw digest output and canonical-source update record.</w:t>
            </w:r>
          </w:p>
        </w:tc>
      </w:tr>
      <w:tr>
        <w:trPr>
          <w:cantSplit/>
        </w:trPr>
        <w:tc>
          <w:tcPr>
            <w:tcW w:type="dxa" w:w="1050"/>
            <w:tcMar>
              <w:top w:w="80" w:type="dxa"/>
              <w:start w:w="120" w:type="dxa"/>
              <w:bottom w:w="80" w:type="dxa"/>
              <w:end w:w="120" w:type="dxa"/>
            </w:tcMar>
            <w:vAlign w:val="center"/>
          </w:tcPr>
          <w:p>
            <w:r>
              <w:rPr>
                <w:rFonts w:ascii="Calibri" w:hAnsi="Calibri"/>
                <w:b/>
                <w:color w:val="162033"/>
              </w:rPr>
              <w:t>G0-10</w:t>
            </w:r>
          </w:p>
        </w:tc>
        <w:tc>
          <w:tcPr>
            <w:tcW w:type="dxa" w:w="5160"/>
            <w:tcMar>
              <w:top w:w="80" w:type="dxa"/>
              <w:start w:w="120" w:type="dxa"/>
              <w:bottom w:w="80" w:type="dxa"/>
              <w:end w:w="120" w:type="dxa"/>
            </w:tcMar>
            <w:vAlign w:val="center"/>
          </w:tcPr>
          <w:p>
            <w:r>
              <w:rPr>
                <w:rFonts w:ascii="Calibri" w:hAnsi="Calibri"/>
                <w:b w:val="0"/>
                <w:color w:val="162033"/>
              </w:rPr>
              <w:t>The repository has preserved pre-remediation history, a clean tracked closure candidate, and active executable CI/local gate.</w:t>
            </w:r>
          </w:p>
        </w:tc>
        <w:tc>
          <w:tcPr>
            <w:tcW w:type="dxa" w:w="3150"/>
            <w:tcMar>
              <w:top w:w="80" w:type="dxa"/>
              <w:start w:w="120" w:type="dxa"/>
              <w:bottom w:w="80" w:type="dxa"/>
              <w:end w:w="120" w:type="dxa"/>
            </w:tcMar>
            <w:vAlign w:val="center"/>
          </w:tcPr>
          <w:p>
            <w:r>
              <w:rPr>
                <w:rFonts w:ascii="Calibri" w:hAnsi="Calibri"/>
                <w:b w:val="0"/>
                <w:color w:val="162033"/>
              </w:rPr>
              <w:t>Git status, pre-remediation and candidate commit/tag IDs, CI/local command, and successful logs.</w:t>
            </w:r>
          </w:p>
        </w:tc>
      </w:tr>
      <w:tr>
        <w:trPr>
          <w:cantSplit/>
        </w:trPr>
        <w:tc>
          <w:tcPr>
            <w:tcW w:type="dxa" w:w="1050"/>
            <w:shd w:fill="F2F4F7"/>
            <w:tcMar>
              <w:top w:w="80" w:type="dxa"/>
              <w:start w:w="120" w:type="dxa"/>
              <w:bottom w:w="80" w:type="dxa"/>
              <w:end w:w="120" w:type="dxa"/>
            </w:tcMar>
            <w:vAlign w:val="center"/>
          </w:tcPr>
          <w:p>
            <w:r>
              <w:rPr>
                <w:rFonts w:ascii="Calibri" w:hAnsi="Calibri"/>
                <w:b/>
                <w:color w:val="162033"/>
              </w:rPr>
              <w:t>G0-11</w:t>
            </w:r>
          </w:p>
        </w:tc>
        <w:tc>
          <w:tcPr>
            <w:tcW w:type="dxa" w:w="5160"/>
            <w:shd w:fill="F2F4F7"/>
            <w:tcMar>
              <w:top w:w="80" w:type="dxa"/>
              <w:start w:w="120" w:type="dxa"/>
              <w:bottom w:w="80" w:type="dxa"/>
              <w:end w:w="120" w:type="dxa"/>
            </w:tcMar>
            <w:vAlign w:val="center"/>
          </w:tcPr>
          <w:p>
            <w:r>
              <w:rPr>
                <w:rFonts w:ascii="Calibri" w:hAnsi="Calibri"/>
                <w:b w:val="0"/>
                <w:color w:val="162033"/>
              </w:rPr>
              <w:t>The minimal Phase 1 foundation installs, builds, tests, launches, and completes a real UI-to-domain-to-worker/WASM health round trip.</w:t>
            </w:r>
          </w:p>
        </w:tc>
        <w:tc>
          <w:tcPr>
            <w:tcW w:type="dxa" w:w="3150"/>
            <w:shd w:fill="F2F4F7"/>
            <w:tcMar>
              <w:top w:w="80" w:type="dxa"/>
              <w:start w:w="120" w:type="dxa"/>
              <w:bottom w:w="80" w:type="dxa"/>
              <w:end w:w="120" w:type="dxa"/>
            </w:tcMar>
            <w:vAlign w:val="center"/>
          </w:tcPr>
          <w:p>
            <w:r>
              <w:rPr>
                <w:rFonts w:ascii="Calibri" w:hAnsi="Calibri"/>
                <w:b w:val="0"/>
                <w:color w:val="162033"/>
              </w:rPr>
              <w:t>Clean-checkout command logs, integration test, and rendered returned DomainResult.</w:t>
            </w:r>
          </w:p>
        </w:tc>
      </w:tr>
      <w:tr>
        <w:trPr>
          <w:cantSplit/>
        </w:trPr>
        <w:tc>
          <w:tcPr>
            <w:tcW w:type="dxa" w:w="1050"/>
            <w:tcMar>
              <w:top w:w="80" w:type="dxa"/>
              <w:start w:w="120" w:type="dxa"/>
              <w:bottom w:w="80" w:type="dxa"/>
              <w:end w:w="120" w:type="dxa"/>
            </w:tcMar>
            <w:vAlign w:val="center"/>
          </w:tcPr>
          <w:p>
            <w:r>
              <w:rPr>
                <w:rFonts w:ascii="Calibri" w:hAnsi="Calibri"/>
                <w:b/>
                <w:color w:val="162033"/>
              </w:rPr>
              <w:t>G0-12</w:t>
            </w:r>
          </w:p>
        </w:tc>
        <w:tc>
          <w:tcPr>
            <w:tcW w:type="dxa" w:w="5160"/>
            <w:tcMar>
              <w:top w:w="80" w:type="dxa"/>
              <w:start w:w="120" w:type="dxa"/>
              <w:bottom w:w="80" w:type="dxa"/>
              <w:end w:w="120" w:type="dxa"/>
            </w:tcMar>
            <w:vAlign w:val="center"/>
          </w:tcPr>
          <w:p>
            <w:r>
              <w:rPr>
                <w:rFonts w:ascii="Calibri" w:hAnsi="Calibri"/>
                <w:b w:val="0"/>
                <w:color w:val="162033"/>
              </w:rPr>
              <w:t>An independent read-only final review confirms the closure evidence.</w:t>
            </w:r>
          </w:p>
        </w:tc>
        <w:tc>
          <w:tcPr>
            <w:tcW w:type="dxa" w:w="3150"/>
            <w:tcMar>
              <w:top w:w="80" w:type="dxa"/>
              <w:start w:w="120" w:type="dxa"/>
              <w:bottom w:w="80" w:type="dxa"/>
              <w:end w:w="120" w:type="dxa"/>
            </w:tcMar>
            <w:vAlign w:val="center"/>
          </w:tcPr>
          <w:p>
            <w:r>
              <w:rPr>
                <w:rFonts w:ascii="Calibri" w:hAnsi="Calibri"/>
                <w:b w:val="0"/>
                <w:color w:val="162033"/>
              </w:rPr>
              <w:t>Reviewer report with primary evidence references.</w:t>
            </w:r>
          </w:p>
        </w:tc>
      </w:tr>
      <w:tr>
        <w:trPr>
          <w:cantSplit/>
        </w:trPr>
        <w:tc>
          <w:tcPr>
            <w:tcW w:type="dxa" w:w="1050"/>
            <w:shd w:fill="F2F4F7"/>
            <w:tcMar>
              <w:top w:w="80" w:type="dxa"/>
              <w:start w:w="120" w:type="dxa"/>
              <w:bottom w:w="80" w:type="dxa"/>
              <w:end w:w="120" w:type="dxa"/>
            </w:tcMar>
            <w:vAlign w:val="center"/>
          </w:tcPr>
          <w:p>
            <w:r>
              <w:rPr>
                <w:rFonts w:ascii="Calibri" w:hAnsi="Calibri"/>
                <w:b/>
                <w:color w:val="162033"/>
              </w:rPr>
              <w:t>G0-13</w:t>
            </w:r>
          </w:p>
        </w:tc>
        <w:tc>
          <w:tcPr>
            <w:tcW w:type="dxa" w:w="5160"/>
            <w:shd w:fill="F2F4F7"/>
            <w:tcMar>
              <w:top w:w="80" w:type="dxa"/>
              <w:start w:w="120" w:type="dxa"/>
              <w:bottom w:w="80" w:type="dxa"/>
              <w:end w:w="120" w:type="dxa"/>
            </w:tcMar>
            <w:vAlign w:val="center"/>
          </w:tcPr>
          <w:p>
            <w:r>
              <w:rPr>
                <w:rFonts w:ascii="Calibri" w:hAnsi="Calibri"/>
                <w:b w:val="0"/>
                <w:color w:val="162033"/>
              </w:rPr>
              <w:t>The absolute prohibition on physical industrial communication remains intact and tested.</w:t>
            </w:r>
          </w:p>
        </w:tc>
        <w:tc>
          <w:tcPr>
            <w:tcW w:type="dxa" w:w="3150"/>
            <w:shd w:fill="F2F4F7"/>
            <w:tcMar>
              <w:top w:w="80" w:type="dxa"/>
              <w:start w:w="120" w:type="dxa"/>
              <w:bottom w:w="80" w:type="dxa"/>
              <w:end w:w="120" w:type="dxa"/>
            </w:tcMar>
            <w:vAlign w:val="center"/>
          </w:tcPr>
          <w:p>
            <w:r>
              <w:rPr>
                <w:rFonts w:ascii="Calibri" w:hAnsi="Calibri"/>
                <w:b w:val="0"/>
                <w:color w:val="162033"/>
              </w:rPr>
              <w:t>Static checks, dependency scan, and isolation tests.</w:t>
            </w:r>
          </w:p>
        </w:tc>
      </w:tr>
      <w:tr>
        <w:trPr>
          <w:cantSplit/>
        </w:trPr>
        <w:tc>
          <w:tcPr>
            <w:tcW w:type="dxa" w:w="1050"/>
            <w:tcMar>
              <w:top w:w="80" w:type="dxa"/>
              <w:start w:w="120" w:type="dxa"/>
              <w:bottom w:w="80" w:type="dxa"/>
              <w:end w:w="120" w:type="dxa"/>
            </w:tcMar>
            <w:vAlign w:val="center"/>
          </w:tcPr>
          <w:p>
            <w:r>
              <w:rPr>
                <w:rFonts w:ascii="Calibri" w:hAnsi="Calibri"/>
                <w:b/>
                <w:color w:val="162033"/>
              </w:rPr>
              <w:t>G0-14</w:t>
            </w:r>
          </w:p>
        </w:tc>
        <w:tc>
          <w:tcPr>
            <w:tcW w:type="dxa" w:w="5160"/>
            <w:tcMar>
              <w:top w:w="80" w:type="dxa"/>
              <w:start w:w="120" w:type="dxa"/>
              <w:bottom w:w="80" w:type="dxa"/>
              <w:end w:w="120" w:type="dxa"/>
            </w:tcMar>
            <w:vAlign w:val="center"/>
          </w:tcPr>
          <w:p>
            <w:r>
              <w:rPr>
                <w:rFonts w:ascii="Calibri" w:hAnsi="Calibri"/>
                <w:b w:val="0"/>
                <w:color w:val="162033"/>
              </w:rPr>
              <w:t>No Phase 2 PLC product feature was started and no unresolved Critical or High defect remains.</w:t>
            </w:r>
          </w:p>
        </w:tc>
        <w:tc>
          <w:tcPr>
            <w:tcW w:type="dxa" w:w="3150"/>
            <w:tcMar>
              <w:top w:w="80" w:type="dxa"/>
              <w:start w:w="120" w:type="dxa"/>
              <w:bottom w:w="80" w:type="dxa"/>
              <w:end w:w="120" w:type="dxa"/>
            </w:tcMar>
            <w:vAlign w:val="center"/>
          </w:tcPr>
          <w:p>
            <w:r>
              <w:rPr>
                <w:rFonts w:ascii="Calibri" w:hAnsi="Calibri"/>
                <w:b w:val="0"/>
                <w:color w:val="162033"/>
              </w:rPr>
              <w:t>Final inventory, scope-leak review, defect table, and candidate verdict.</w:t>
            </w:r>
          </w:p>
        </w:tc>
      </w:tr>
    </w:tbl>
    <w:p>
      <w:pPr>
        <w:spacing w:before="120" w:after="160"/>
        <w:ind w:left="259" w:right="173"/>
        <w:shd w:fill="FCECEC"/>
        <w:pBdr>
          <w:left w:val="single" w:sz="20" w:space="8" w:color="9B1C1C"/>
        </w:pBdr>
      </w:pPr>
      <w:r>
        <w:rPr>
          <w:rFonts w:ascii="Calibri" w:hAnsi="Calibri"/>
          <w:b/>
          <w:color w:val="9B1C1C"/>
        </w:rPr>
        <w:t xml:space="preserve">Advance rule: </w:t>
      </w:r>
      <w:r>
        <w:rPr>
          <w:rFonts w:ascii="Calibri" w:hAnsi="Calibri"/>
          <w:color w:val="162033"/>
        </w:rPr>
        <w:t>Master Prompt 2 of 4 remains blocked unless G0-01 through G0-14 all pass and Scott accepts the closure candidate. Codex may not waive, reinterpret, or mark a gate ‘not applicable’ merely to complete this order.</w:t>
      </w:r>
    </w:p>
    <w:p>
      <w:pPr>
        <w:pStyle w:val="Heading1"/>
        <w:keepNext/>
      </w:pPr>
      <w:r>
        <w:t>7. Required repository deliverables</w:t>
      </w:r>
    </w:p>
    <w:p>
      <w:r>
        <w:rPr>
          <w:rFonts w:ascii="Calibri" w:hAnsi="Calibri"/>
          <w:i w:val="0"/>
        </w:rPr>
        <w:t>Preserve existing repository conventions where they are sound. At minimum, the closure checkpoint shall contain or update the following logical deliverables; use existing equivalent paths rather than creating duplicates:</w:t>
      </w:r>
    </w:p>
    <w:p>
      <w:pPr>
        <w:pStyle w:val="ListBullet"/>
      </w:pPr>
      <w:r>
        <w:rPr>
          <w:rFonts w:ascii="Calibri" w:hAnsi="Calibri"/>
        </w:rPr>
        <w:t>Final PHASE_1_ADVERSARIAL_AUDIT.md and a visually verified Word export for Scott.</w:t>
      </w:r>
    </w:p>
    <w:p>
      <w:pPr>
        <w:pStyle w:val="ListBullet"/>
      </w:pPr>
      <w:r>
        <w:rPr>
          <w:rFonts w:ascii="Calibri" w:hAnsi="Calibri"/>
        </w:rPr>
        <w:t>PHASE_1_CLOSURE_REPORT.md containing the gate decision, commit/tag, commands, tool versions, and evidence index.</w:t>
      </w:r>
    </w:p>
    <w:p>
      <w:pPr>
        <w:pStyle w:val="ListBullet"/>
      </w:pPr>
      <w:r>
        <w:rPr>
          <w:rFonts w:ascii="Calibri" w:hAnsi="Calibri"/>
        </w:rPr>
        <w:t>Complete recall ledger, compound-split ledger, check-classification table, mutation table, interpretation log, and defect register.</w:t>
      </w:r>
    </w:p>
    <w:p>
      <w:pPr>
        <w:pStyle w:val="ListBullet"/>
      </w:pPr>
      <w:r>
        <w:rPr>
          <w:rFonts w:ascii="Calibri" w:hAnsi="Calibri"/>
        </w:rPr>
        <w:t>Corrected atomic requirement registry and implementation matrix with preserved history and source anchors.</w:t>
      </w:r>
    </w:p>
    <w:p>
      <w:pPr>
        <w:pStyle w:val="ListBullet"/>
      </w:pPr>
      <w:r>
        <w:rPr>
          <w:rFonts w:ascii="Calibri" w:hAnsi="Calibri"/>
        </w:rPr>
        <w:t>Trusted baseline manifest and machine-readable closure evidence with schema validation.</w:t>
      </w:r>
    </w:p>
    <w:p>
      <w:pPr>
        <w:pStyle w:val="ListBullet"/>
      </w:pPr>
      <w:r>
        <w:rPr>
          <w:rFonts w:ascii="Calibri" w:hAnsi="Calibri"/>
        </w:rPr>
        <w:t>Repaired verifier, mutation harness, unit/integration tests, pinned toolchain records, and active CI configuration.</w:t>
      </w:r>
    </w:p>
    <w:p>
      <w:pPr>
        <w:pStyle w:val="ListBullet"/>
      </w:pPr>
      <w:r>
        <w:rPr>
          <w:rFonts w:ascii="Calibri" w:hAnsi="Calibri"/>
        </w:rPr>
        <w:t>Working minimal application shell and health-path test proving the Phase 1 UI/domain/worker/WASM foundation without PLC features.</w:t>
      </w:r>
    </w:p>
    <w:p>
      <w:pPr>
        <w:pStyle w:val="ListBullet"/>
      </w:pPr>
      <w:r>
        <w:rPr>
          <w:rFonts w:ascii="Calibri" w:hAnsi="Calibri"/>
        </w:rPr>
        <w:t>Clean Git closure-candidate commit and local annotated phase1-closure-candidate-v1 tag only after every technical gate passes.</w:t>
      </w:r>
    </w:p>
    <w:p>
      <w:pPr>
        <w:pStyle w:val="Heading1"/>
        <w:keepNext/>
      </w:pPr>
      <w:r>
        <w:t>8. Stop-and-ask conditions</w:t>
      </w:r>
    </w:p>
    <w:p>
      <w:r>
        <w:rPr>
          <w:rFonts w:ascii="Calibri" w:hAnsi="Calibri"/>
          <w:i w:val="0"/>
        </w:rPr>
        <w:t>Stop the affected work, preserve evidence, and ask Scott instead of inventing an answer when any of the following occurs:</w:t>
      </w:r>
    </w:p>
    <w:p>
      <w:pPr>
        <w:pStyle w:val="ListBullet"/>
      </w:pPr>
      <w:r>
        <w:rPr>
          <w:rFonts w:ascii="Calibri" w:hAnsi="Calibri"/>
        </w:rPr>
        <w:t>A canonical source is missing or fails its approved hash.</w:t>
      </w:r>
    </w:p>
    <w:p>
      <w:pPr>
        <w:pStyle w:val="ListBullet"/>
      </w:pPr>
      <w:r>
        <w:rPr>
          <w:rFonts w:ascii="Calibri" w:hAnsi="Calibri"/>
        </w:rPr>
        <w:t>An exclusion, interpretation, or remediation choice would change product behavior, safety, educational scope, clean-room boundaries, or the physical-hardware prohibition.</w:t>
      </w:r>
    </w:p>
    <w:p>
      <w:pPr>
        <w:pStyle w:val="ListBullet"/>
      </w:pPr>
      <w:r>
        <w:rPr>
          <w:rFonts w:ascii="Calibri" w:hAnsi="Calibri"/>
        </w:rPr>
        <w:t>Two authoritative instructions remain contradictory after applying the hierarchy in Section 1.</w:t>
      </w:r>
    </w:p>
    <w:p>
      <w:pPr>
        <w:pStyle w:val="ListBullet"/>
      </w:pPr>
      <w:r>
        <w:rPr>
          <w:rFonts w:ascii="Calibri" w:hAnsi="Calibri"/>
        </w:rPr>
        <w:t>Required remediation would delete substantial evidence, reset the repository, publish externally, use new credentials, or introduce a physical/network communication capability.</w:t>
      </w:r>
    </w:p>
    <w:p>
      <w:pPr>
        <w:pStyle w:val="ListBullet"/>
      </w:pPr>
      <w:r>
        <w:rPr>
          <w:rFonts w:ascii="Calibri" w:hAnsi="Calibri"/>
        </w:rPr>
        <w:t>A reported result cannot be reproduced and the missing evidence cannot be regenerated honestly.</w:t>
      </w:r>
    </w:p>
    <w:p>
      <w:pPr>
        <w:pStyle w:val="ListBullet"/>
      </w:pPr>
      <w:r>
        <w:rPr>
          <w:rFonts w:ascii="Calibri" w:hAnsi="Calibri"/>
        </w:rPr>
        <w:t>The gate cannot pass without weakening a requirement, test, or acceptance condition.</w:t>
      </w:r>
    </w:p>
    <w:p>
      <w:r>
        <w:rPr>
          <w:rFonts w:ascii="Calibri" w:hAnsi="Calibri"/>
          <w:i w:val="0"/>
        </w:rPr>
        <w:t>A blocked gate is an acceptable honest outcome. A fabricated or weakened pass is not.</w:t>
      </w:r>
    </w:p>
    <w:p>
      <w:pPr>
        <w:pStyle w:val="Heading1"/>
        <w:keepNext/>
      </w:pPr>
      <w:r>
        <w:t>9. Required completion response to Scott</w:t>
      </w:r>
    </w:p>
    <w:p>
      <w:r>
        <w:rPr>
          <w:rFonts w:ascii="Calibri" w:hAnsi="Calibri"/>
          <w:i w:val="0"/>
        </w:rPr>
        <w:t>When work stops, return one concise completion report in this exact order:</w:t>
      </w:r>
    </w:p>
    <w:p>
      <w:pPr>
        <w:pStyle w:val="ListBullet"/>
      </w:pPr>
      <w:r>
        <w:rPr>
          <w:rFonts w:ascii="Calibri" w:hAnsi="Calibri"/>
        </w:rPr>
        <w:t>Verdict: PHASE 1 CLOSURE CANDIDATE — AWAITING SCOTT ACCEPTANCE, or BLOCKED.</w:t>
      </w:r>
    </w:p>
    <w:p>
      <w:pPr>
        <w:pStyle w:val="ListBullet"/>
      </w:pPr>
      <w:r>
        <w:rPr>
          <w:rFonts w:ascii="Calibri" w:hAnsi="Calibri"/>
        </w:rPr>
        <w:t>G0-01 through G0-14 status table with direct evidence paths.</w:t>
      </w:r>
    </w:p>
    <w:p>
      <w:pPr>
        <w:pStyle w:val="ListBullet"/>
      </w:pPr>
      <w:r>
        <w:rPr>
          <w:rFonts w:ascii="Calibri" w:hAnsi="Calibri"/>
        </w:rPr>
        <w:t>Files added, changed, superseded, or intentionally left untouched.</w:t>
      </w:r>
    </w:p>
    <w:p>
      <w:pPr>
        <w:pStyle w:val="ListBullet"/>
      </w:pPr>
      <w:r>
        <w:rPr>
          <w:rFonts w:ascii="Calibri" w:hAnsi="Calibri"/>
        </w:rPr>
        <w:t>Requirement reconciliation: final counts, all 48 dispositions, all compound splits, and PES-REQ-0003 result.</w:t>
      </w:r>
    </w:p>
    <w:p>
      <w:pPr>
        <w:pStyle w:val="ListBullet"/>
      </w:pPr>
      <w:r>
        <w:rPr>
          <w:rFonts w:ascii="Calibri" w:hAnsi="Calibri"/>
        </w:rPr>
        <w:t>Verifier and mutations: clean-baseline result, 12/12 table, named detecting checks, and confirmation that no crash received credit.</w:t>
      </w:r>
    </w:p>
    <w:p>
      <w:pPr>
        <w:pStyle w:val="ListBullet"/>
      </w:pPr>
      <w:r>
        <w:rPr>
          <w:rFonts w:ascii="Calibri" w:hAnsi="Calibri"/>
        </w:rPr>
        <w:t>Hashes and filenames: canonical values, raw recomputation evidence, and resolution of the 62-character defect.</w:t>
      </w:r>
    </w:p>
    <w:p>
      <w:pPr>
        <w:pStyle w:val="ListBullet"/>
      </w:pPr>
      <w:r>
        <w:rPr>
          <w:rFonts w:ascii="Calibri" w:hAnsi="Calibri"/>
        </w:rPr>
        <w:t>Repository state: pre-remediation and candidate commits/tags, clean/dirty status, active CI/local command, and full test result.</w:t>
      </w:r>
    </w:p>
    <w:p>
      <w:pPr>
        <w:pStyle w:val="ListBullet"/>
      </w:pPr>
      <w:r>
        <w:rPr>
          <w:rFonts w:ascii="Calibri" w:hAnsi="Calibri"/>
        </w:rPr>
        <w:t>Minimal foundation proof: exact install/build/test/launch commands and the UI-to-domain-to-worker/WASM round-trip evidence.</w:t>
      </w:r>
    </w:p>
    <w:p>
      <w:pPr>
        <w:pStyle w:val="ListBullet"/>
      </w:pPr>
      <w:r>
        <w:rPr>
          <w:rFonts w:ascii="Calibri" w:hAnsi="Calibri"/>
        </w:rPr>
        <w:t>Open defects and decisions requiring Scott, with no buried caveats.</w:t>
      </w:r>
    </w:p>
    <w:p>
      <w:pPr>
        <w:pStyle w:val="ListBullet"/>
      </w:pPr>
      <w:r>
        <w:rPr>
          <w:rFonts w:ascii="Calibri" w:hAnsi="Calibri"/>
        </w:rPr>
        <w:t>Explicit statement: ‘Phase 2 product implementation was not begun under this order.’</w:t>
      </w:r>
    </w:p>
    <w:p>
      <w:pPr>
        <w:spacing w:before="120" w:after="160"/>
        <w:ind w:left="259" w:right="173"/>
        <w:shd w:fill="FCECEC"/>
        <w:pBdr>
          <w:left w:val="single" w:sz="20" w:space="8" w:color="9B1C1C"/>
        </w:pBdr>
      </w:pPr>
      <w:r>
        <w:rPr>
          <w:rFonts w:ascii="Calibri" w:hAnsi="Calibri"/>
          <w:b/>
          <w:color w:val="9B1C1C"/>
        </w:rPr>
        <w:t xml:space="preserve">Final instruction: </w:t>
      </w:r>
      <w:r>
        <w:rPr>
          <w:rFonts w:ascii="Calibri" w:hAnsi="Calibri"/>
          <w:color w:val="162033"/>
        </w:rPr>
        <w:t>After delivering the closure result, stop and wait for Scott. Do not continue into PLC core development until he supplies the separate Phase 2 Master Implementation Directive.</w:t>
      </w:r>
    </w:p>
    <w:sectPr w:rsidR="00FC693F" w:rsidRPr="0006063C" w:rsidSect="00034616">
      <w:headerReference w:type="default" r:id="rId9"/>
      <w:footerReference w:type="default" r:id="rId10"/>
      <w:pgSz w:w="12240" w:h="15840"/>
      <w:pgMar w:top="1181" w:right="1440" w:bottom="1123" w:left="1440" w:header="605" w:footer="605"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right"/>
    </w:pPr>
    <w:r>
      <w:rPr>
        <w:rFonts w:ascii="Calibri" w:hAnsi="Calibri"/>
        <w:color w:val="5A6470"/>
        <w:sz w:val="17"/>
      </w:rPr>
      <w:t xml:space="preserve">Controlled Corrective Order  •  </w:t>
    </w:r>
    <w:r>
      <w:fldChar w:fldCharType="begin"/>
      <w:instrText xml:space="preserve">PAGE</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b/>
        <w:color w:val="5A6470"/>
        <w:sz w:val="17"/>
      </w:rPr>
      <w:t>PLC ENGINEERING SIMULATOR  |  PHASE 1 CLOSURE GATE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color w:val="1620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F6FC2"/>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F6FC2"/>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243B64"/>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300" w:lineRule="auto"/>
      <w:contextualSpacing/>
    </w:pPr>
    <w:rPr>
      <w:rFonts w:ascii="Calibri" w:hAnsi="Calibri"/>
      <w:sz w:val="22"/>
    </w:rPr>
  </w:style>
  <w:style w:type="paragraph" w:styleId="ListBullet2">
    <w:name w:val="List Bullet 2"/>
    <w:basedOn w:val="Normal"/>
    <w:uiPriority w:val="99"/>
    <w:unhideWhenUsed/>
    <w:rsid w:val="00326F90"/>
    <w:pPr>
      <w:numPr>
        <w:numId w:val="2"/>
      </w:numPr>
      <w:spacing w:after="80" w:line="300" w:lineRule="auto"/>
      <w:contextualSpacing/>
    </w:pPr>
    <w:rPr>
      <w:rFonts w:ascii="Calibri" w:hAnsi="Calibri"/>
      <w:sz w:val="22"/>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300" w:lineRule="auto"/>
      <w:contextualSpacing/>
    </w:pPr>
    <w:rPr>
      <w:rFonts w:ascii="Calibri" w:hAnsi="Calibri"/>
      <w:sz w:val="22"/>
    </w:rPr>
  </w:style>
  <w:style w:type="paragraph" w:styleId="ListNumber2">
    <w:name w:val="List Number 2"/>
    <w:basedOn w:val="Normal"/>
    <w:uiPriority w:val="99"/>
    <w:unhideWhenUsed/>
    <w:rsid w:val="0029639D"/>
    <w:pPr>
      <w:numPr>
        <w:numId w:val="6"/>
      </w:numPr>
      <w:spacing w:after="80" w:line="300" w:lineRule="auto"/>
      <w:contextualSpacing/>
    </w:pPr>
    <w:rPr>
      <w:rFonts w:ascii="Calibri" w:hAnsi="Calibri"/>
      <w:sz w:val="22"/>
    </w:r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DirectiveLabel">
    <w:name w:val="Directive Label"/>
    <w:pPr>
      <w:keepNext/>
      <w:spacing w:after="120"/>
    </w:pPr>
    <w:rPr>
      <w:rFonts w:ascii="Calibri" w:hAnsi="Calibri"/>
      <w:b/>
      <w:color w:val="2F6FC2"/>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PLC Engineering Simulator - Phase 1 Corrective Addendum - Closure and Trusted Baseline</dc:title>
  <dc:subject>Bounded corrective gate before Phase 2 implementation</dc:subject>
  <dc:creator>Scott</dc:creator>
  <cp:keywords>PLC simulator, Codex, Phase 1 closure, trusted baseline, audit, corrective order</cp:keywords>
  <dc:description>Normative corrective prompt for Codex; preserves four-phase implementation sequence.</dc:description>
  <cp:lastModifiedBy/>
  <cp:revision>1</cp:revision>
  <dcterms:created xsi:type="dcterms:W3CDTF">2013-12-23T23:15:00Z</dcterms:created>
  <dcterms:modified xsi:type="dcterms:W3CDTF">2013-12-23T23:15:00Z</dcterms:modified>
  <cp:category/>
</cp:coreProperties>
</file>