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docProps/core.xml" ContentType="application/vnd.openxmlformats-package.core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Relationship Id="rIdCore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m="http://schemas.openxmlformats.org/officeDocument/2006/math" xmlns:mc="http://schemas.openxmlformats.org/markup-compatibility/2006" xmlns:ck="urn:clarkdown:docx" mc:Ignorable="ck">
  <w:body>
    <w:p>
      <w:pPr>
        <w:pStyle w:val="Title"/>
        <ck:id v="oa-1k-told-mission-planning-tool"/>
      </w:pPr>
      <w:bookmarkStart w:id="0" w:name="oa_1k_told_mission_planning_tool"/>
      <w:r>
        <w:t>OA-1K TOLD Mission Planning Tool</w:t>
      </w:r>
      <w:bookmarkEnd w:id="0"/>
    </w:p>
    <w:p>
      <w:r>
        <w:rPr>
          <w:rStyle w:val="CkKicker"/>
        </w:rPr>
        <w:t>DATA PROVENANCE AND DIGITIZATION METHODOLOGY</w:t>
      </w:r>
    </w:p>
    <w:p>
      <w:r>
        <w:rPr>
          <w:b/>
        </w:rPr>
        <w:t>Prepared for:</w:t>
      </w:r>
      <w:r>
        <w:t xml:space="preserve"> 185 SOS Standardization/Evaluation</w:t>
      </w:r>
      <w:r>
        <w:br/>
      </w:r>
      <w:r>
        <w:rPr>
          <w:b/>
        </w:rPr>
        <w:t>Tool version documented:</w:t>
      </w:r>
      <w:r>
        <w:t xml:space="preserve"> engine v1.9.9 (September 2026)</w:t>
      </w:r>
      <w:r>
        <w:br/>
      </w:r>
      <w:r>
        <w:rPr>
          <w:b/>
        </w:rPr>
        <w:t>Status:</w:t>
      </w:r>
      <w:r>
        <w:t xml:space="preserve"> PLANNING AID ONLY — all outputs are computed from digitized flight-manual charts and must be verified against TO OA-1K-1 before operational use.</w:t>
      </w:r>
    </w:p>
    <w:p>
      <w:pPr>
        <w:pStyle w:val="Heading2"/>
        <ck:id v="1-purpose-and-scope"/>
      </w:pPr>
      <w:bookmarkStart w:id="1" w:name="_1_purpose_and_scope"/>
      <w:r>
        <w:t>1. Purpose and Scope</w:t>
      </w:r>
      <w:bookmarkEnd w:id="1"/>
    </w:p>
    <w:p>
      <w:r>
        <w:t>This document describes how the performance data inside the OA-1K TOLD mission planning tool was generated, how the tool computes its outputs at run time, and how both were validated. The tool is a single, self-contained HTML file that runs offline. Every performance number it produces traces to one of the source documents listed in Section 2; the tool contains no performance data from any other origin and does not extrapolate beyond the printed envelope of any chart.</w:t>
      </w:r>
    </w:p>
    <w:p>
      <w:pPr>
        <w:pStyle w:val="Heading2"/>
        <ck:id v="2-source-documents"/>
      </w:pPr>
      <w:bookmarkStart w:id="2" w:name="_2_source_documents"/>
      <w:r>
        <w:t>2. Source Documents</w:t>
      </w:r>
      <w:bookmarkEnd w:id="2"/>
    </w:p>
    <w:tbl>
      <w:tblPr>
        <w:tblStyle w:val="CkTable"/>
        <w:tblW w:w="0" w:type="auto"/>
        <w:tblLayout w:type="autofit"/>
        <w:tblLook w:firstRow="1" w:lastRow="0" w:firstColumn="0" w:lastColumn="0" w:noHBand="0" w:noVBand="1"/>
      </w:tblPr>
      <w:tblGrid>
        <w:gridCol/>
        <w:gridCol/>
      </w:tblGrid>
      <w:tr>
        <w:trPr>
          <w:tblHeader/>
        </w:trPr>
        <w:tc>
          <w:tcPr/>
          <w:p>
            <w:r>
              <w:rPr>
                <w:b/>
              </w:rPr>
              <w:t>Source</w:t>
            </w:r>
          </w:p>
        </w:tc>
        <w:tc>
          <w:tcPr/>
          <w:p>
            <w:r>
              <w:rPr>
                <w:b/>
              </w:rPr>
              <w:t>Content used</w:t>
            </w:r>
          </w:p>
        </w:tc>
      </w:tr>
      <w:tr>
        <w:tc>
          <w:tcPr/>
          <w:p>
            <w:r>
              <w:t>TO OA-1K-1, Appendix A (Flight Test Generated Data, 12 Sep 2025; CERTIFIED PTO 30 Jan 2026)</w:t>
            </w:r>
          </w:p>
        </w:tc>
        <w:tc>
          <w:tcPr/>
          <w:p>
            <w:r>
              <w:t>Takeoff (Figs A-1..A-3), climb (A-4/A-5), landing (A-7/A-8), accelerate-stop (A-9..A-11), cruise (A-19..A-28), specific range (A-30..A-39), V-speed and stall tables (Tables A-1..A-8), Section V limits</w:t>
            </w:r>
          </w:p>
        </w:tc>
      </w:tr>
      <w:tr>
        <w:tc>
          <w:tcPr/>
          <w:p>
            <w:r>
              <w:t>C1F AFM Supplement C0001B.42.001 (Table 6-13 / Fig 6-3)</w:t>
            </w:r>
          </w:p>
        </w:tc>
        <w:tc>
          <w:tcPr/>
          <w:p>
            <w:r>
              <w:t>Center-of-gravity envelope (fwd 25.0 in; aft 35.0 in to 11,400 lb, straight-line to 30.5 in at 16,000 lb), applied against the unit-directed interim MGTOW of 15,190 lb</w:t>
            </w:r>
          </w:p>
        </w:tc>
      </w:tr>
      <w:tr>
        <w:tc>
          <w:tcPr/>
          <w:p>
            <w:r>
              <w:t>Signed DD 365-F (Form F) records, including the fleet Form F compilation (41 pages)</w:t>
            </w:r>
          </w:p>
        </w:tc>
        <w:tc>
          <w:tcPr/>
          <w:p>
            <w:r>
              <w:t>Per-tail Chart C basic weight and moment for 16 of 22 tails (latest Form F per tail)</w:t>
            </w:r>
          </w:p>
        </w:tc>
      </w:tr>
      <w:tr>
        <w:tc>
          <w:tcPr/>
          <w:p>
            <w:r>
              <w:t>Unit W&amp;B CG Calculator v1.2.xlsm</w:t>
            </w:r>
          </w:p>
        </w:tc>
        <w:tc>
          <w:tcPr/>
          <w:p>
            <w:r>
              <w:t>Chart C data for the remaining 6 tails; stores item weights/moments; SCL definitions; crew roster; the weight-and-balance computation method itself</w:t>
            </w:r>
          </w:p>
        </w:tc>
      </w:tr>
    </w:tbl>
    <w:p>
      <w:pPr>
        <w:pStyle w:val="Heading2"/>
        <ck:id v="3-chart-digitization-method"/>
      </w:pPr>
      <w:bookmarkStart w:id="3" w:name="_3_chart_digitization_method"/>
      <w:r>
        <w:t>3. Chart Digitization Method</w:t>
      </w:r>
      <w:bookmarkEnd w:id="3"/>
    </w:p>
    <w:p>
      <w:r>
        <w:t>The Appendix A charts are vector line drawings. Each chart page was rendered to a 300-dpi image and processed with computer-vision software (OpenCV/scipy, with OCR for printed labels). The process for every chart family followed the same discipline: calibrate, trace, verify.</w:t>
      </w:r>
    </w:p>
    <w:p>
      <w:r>
        <w:rPr>
          <w:b/>
        </w:rPr>
        <w:t>Calibration.</w:t>
      </w:r>
      <w:r>
        <w:t xml:space="preserve"> The software locates the chart's axis frame and printed axis labels and establishes a pixel-to-engineering-units mapping. Wherever possible the calibration was anchored to chart structure rather than OCR alone: on the cruise panels, the airspeed axis was locked to the arithmetic grid spacing and cross-checked against the printed VNE reference lines, which read 141 KIAS on every panel — a chart-provided consistency check on the axis mapping of all 123 panels.</w:t>
      </w:r>
    </w:p>
    <w:p>
      <w:r>
        <w:rPr>
          <w:b/>
        </w:rPr>
        <w:t>Curve tracing.</w:t>
      </w:r>
      <w:r>
        <w:t xml:space="preserve"> Each printed curve was isolated by line-weight and intensity thresholding and traced pixel-by-pixel into a numeric table. No functional form was assumed; the stored data is the printed geometry itself.</w:t>
      </w:r>
    </w:p>
    <w:p>
      <w:r>
        <w:rPr>
          <w:b/>
        </w:rPr>
        <w:t>Correction grids as ratio surfaces.</w:t>
      </w:r>
      <w:r>
        <w:t xml:space="preserve"> The takeoff, landing, and accelerate-stop carpets apply weight, wind, and slope corrections by following diagonal guide lines. Following a guide line by hand multiplies the entry distance by a factor that depends on where the line is entered and how much correction is applied. Each grid was therefore captured as a family of traced guide lines, and the engine interpolates between adjacent traced lines exactly as a pencil interpolates between printed ones. This reproduces the chart's drawn behavior rather than an assumed mathematical model of it.</w:t>
      </w:r>
    </w:p>
    <w:p>
      <w:r>
        <w:rPr>
          <w:b/>
        </w:rPr>
        <w:t>The cruise and specific-range families.</w:t>
      </w:r>
      <w:r>
        <w:t xml:space="preserve"> On each of the 123 cruise/SR panels, the four solid gross-weight curves converge into a tight bundle at high airspeed, interleaved with dashed odd-thousand-pound curves. Tracing them independently invites track-jumping, so all seven curves are traced jointly under an order-preserving constraint (curves may not cross or exchange positions), with the dashed curves modeled explicitly so the solids cannot lock onto them. Torque scales were re-anchored to each panel's own printed torque labels; the fuel-flow side scale was fit simultaneously through the printed GAL/HR and LB/HR labels, which merge at 6.7229 lb/gal — itself a check on the scale fit. Each panel's drag-index delta-torque curve and maximum-recommended-torque line were extracted the same way.</w:t>
      </w:r>
    </w:p>
    <w:p>
      <w:r>
        <w:rPr>
          <w:b/>
        </w:rPr>
        <w:t>Tables.</w:t>
      </w:r>
      <w:r>
        <w:t xml:space="preserve"> The V-speed tables (VR, unimproved VR, V50, VY, VREF) and stall tables were taken directly from the PDF text layer with no image processing, then visually verified against the printed pages.</w:t>
      </w:r>
    </w:p>
    <w:p>
      <w:r>
        <w:rPr>
          <w:b/>
        </w:rPr>
        <w:t>Weight-and-balance records.</w:t>
      </w:r>
      <w:r>
        <w:t xml:space="preserve"> The fleet Form F compilation is scanned (no text layer). Each page was OCR'd at 300 dpi, and every value retained in the tool — tail, date, basic weight, moment — was then visually verified against the page image by direct inspection. Where a tail has multiple Form Fs, the latest date was kept; duplicate pages of the same tail served as independent reads of the same values. For twelve unchanged tails the fleet-PDF values matched the unit workbook exactly, independently confirming both.</w:t>
      </w:r>
    </w:p>
    <w:p>
      <w:pPr>
        <w:pStyle w:val="Heading2"/>
        <ck:id v="4-post-processing-quality-assurance"/>
      </w:pPr>
      <w:bookmarkStart w:id="4" w:name="_4_post_processing_quality_assurance"/>
      <w:r>
        <w:t>4. Post-Processing Quality Assurance</w:t>
      </w:r>
      <w:bookmarkEnd w:id="4"/>
    </w:p>
    <w:p>
      <w:r>
        <w:t>Digitized cruise data passed through three automated QA stages. Gross-weight ordering was enforced on every panel. Each panel was compared against its pressure-altitude siblings using a linear-in-temperature trend; cells deviating more than 5% (about 3% of all cells, concentrated in the converged-bundle region) were dropped and refilled from the panel's own remaining weight curves. Panel temperature labels were corrected by aligning the OCR'd sequence against the known ISA-offset progression of the chart series.</w:t>
      </w:r>
    </w:p>
    <w:p>
      <w:pPr>
        <w:pStyle w:val="Heading2"/>
        <ck:id v="5-runtime-computation-model"/>
      </w:pPr>
      <w:bookmarkStart w:id="5" w:name="_5_runtime_computation_model"/>
      <w:r>
        <w:t>5. Runtime Computation Model</w:t>
      </w:r>
      <w:bookmarkEnd w:id="5"/>
    </w:p>
    <w:p>
      <w:r>
        <w:t>The engine interpolates linearly between pressure-altitude and temperature panels, quadratically across the printed gross-weight curves, and applies carpet-chart corrections in the same order the printed chart applies them. It never extrapolates: conditions outside any chart's printed envelope return no data rather than an estimate, with a caution to the user. Best-range speed (VRANGE) uses the long-range-cruise definition — the highest airspeed retaining at least 99% of maximum range — which reproduces the manual's printed VRANGE line (validated against the Fig A-18 worked example). Mission fuel integrates the climb chart in 2,000-ft steps at maximum-recommended-torque fuel flow, then cruises the remaining distance at VRANGE or the pilot-selected speed, with a gross-weight refinement pass. Weight and balance replicates the unit workbook's method with per-tail Chart C data, and all TOLD computations draw their weights from that calculation.</w:t>
      </w:r>
    </w:p>
    <w:p>
      <w:pPr>
        <w:pStyle w:val="Heading2"/>
        <ck:id v="6-validation-results"/>
      </w:pPr>
      <w:bookmarkStart w:id="6" w:name="_6_validation_results"/>
      <w:r>
        <w:t>6. Validation Results</w:t>
      </w:r>
      <w:bookmarkEnd w:id="6"/>
    </w:p>
    <w:p>
      <w:r>
        <w:t>Every chart family was validated against the flight manual's own printed worked examples, run through the digitized engine at the example's stated conditions.</w:t>
      </w:r>
    </w:p>
    <w:tbl>
      <w:tblPr>
        <w:tblStyle w:val="CkTable"/>
        <w:tblW w:w="0" w:type="auto"/>
        <w:tblLayout w:type="autofit"/>
        <w:tblLook w:firstRow="1" w:lastRow="0" w:firstColumn="0" w:lastColumn="0" w:noHBand="0" w:noVBand="1"/>
      </w:tblPr>
      <w:tblGrid>
        <w:gridCol/>
        <w:gridCol/>
        <w:gridCol/>
        <w:gridCol/>
      </w:tblGrid>
      <w:tr>
        <w:trPr>
          <w:tblHeader/>
        </w:trPr>
        <w:tc>
          <w:tcPr/>
          <w:p>
            <w:r>
              <w:rPr>
                <w:b/>
              </w:rPr>
              <w:t>Check</w:t>
            </w:r>
          </w:p>
        </w:tc>
        <w:tc>
          <w:tcPr/>
          <w:p>
            <w:r>
              <w:rPr>
                <w:b/>
              </w:rPr>
              <w:t>Printed value</w:t>
            </w:r>
          </w:p>
        </w:tc>
        <w:tc>
          <w:tcPr/>
          <w:p>
            <w:r>
              <w:rPr>
                <w:b/>
              </w:rPr>
              <w:t>Tool value</w:t>
            </w:r>
          </w:p>
        </w:tc>
        <w:tc>
          <w:tcPr/>
          <w:p>
            <w:r>
              <w:rPr>
                <w:b/>
              </w:rPr>
              <w:t>Agreement</w:t>
            </w:r>
          </w:p>
        </w:tc>
      </w:tr>
      <w:tr>
        <w:tc>
          <w:tcPr/>
          <w:p>
            <w:r>
              <w:t>Fig A-7 landing example (total over 50 ft)</w:t>
            </w:r>
          </w:p>
        </w:tc>
        <w:tc>
          <w:tcPr/>
          <w:p>
            <w:r>
              <w:t>3,700 ft</w:t>
            </w:r>
          </w:p>
        </w:tc>
        <w:tc>
          <w:tcPr/>
          <w:p>
            <w:r>
              <w:t>3,775 ft</w:t>
            </w:r>
          </w:p>
        </w:tc>
        <w:tc>
          <w:tcPr/>
          <w:p>
            <w:r>
              <w:t>2.0%</w:t>
            </w:r>
          </w:p>
        </w:tc>
      </w:tr>
      <w:tr>
        <w:tc>
          <w:tcPr/>
          <w:p>
            <w:r>
              <w:t>Fig A-9 accelerate-stop example</w:t>
            </w:r>
          </w:p>
        </w:tc>
        <w:tc>
          <w:tcPr/>
          <w:p>
            <w:r>
              <w:t>5,000 ft</w:t>
            </w:r>
          </w:p>
        </w:tc>
        <w:tc>
          <w:tcPr/>
          <w:p>
            <w:r>
              <w:t>5,134 ft</w:t>
            </w:r>
          </w:p>
        </w:tc>
        <w:tc>
          <w:tcPr/>
          <w:p>
            <w:r>
              <w:t>2.7%</w:t>
            </w:r>
          </w:p>
        </w:tc>
      </w:tr>
      <w:tr>
        <w:tc>
          <w:tcPr/>
          <w:p>
            <w:r>
              <w:t>Fig A-17 cruise base torque</w:t>
            </w:r>
          </w:p>
        </w:tc>
        <w:tc>
          <w:tcPr/>
          <w:p>
            <w:r>
              <w:t>2,210 ft-lb</w:t>
            </w:r>
          </w:p>
        </w:tc>
        <w:tc>
          <w:tcPr/>
          <w:p>
            <w:r>
              <w:t>2,223 ft-lb</w:t>
            </w:r>
          </w:p>
        </w:tc>
        <w:tc>
          <w:tcPr/>
          <w:p>
            <w:r>
              <w:t>0.6%</w:t>
            </w:r>
          </w:p>
        </w:tc>
      </w:tr>
      <w:tr>
        <w:tc>
          <w:tcPr/>
          <w:p>
            <w:r>
              <w:t>Fig A-17 DI-92 corrected torque</w:t>
            </w:r>
          </w:p>
        </w:tc>
        <w:tc>
          <w:tcPr/>
          <w:p>
            <w:r>
              <w:t>2,900 ft-lb</w:t>
            </w:r>
          </w:p>
        </w:tc>
        <w:tc>
          <w:tcPr/>
          <w:p>
            <w:r>
              <w:t>2,904 ft-lb</w:t>
            </w:r>
          </w:p>
        </w:tc>
        <w:tc>
          <w:tcPr/>
          <w:p>
            <w:r>
              <w:t>0.2%</w:t>
            </w:r>
          </w:p>
        </w:tc>
      </w:tr>
      <w:tr>
        <w:tc>
          <w:tcPr/>
          <w:p>
            <w:r>
              <w:t>Fig A-17 fuel flow</w:t>
            </w:r>
          </w:p>
        </w:tc>
        <w:tc>
          <w:tcPr/>
          <w:p>
            <w:r>
              <w:t>81 gal/hr</w:t>
            </w:r>
          </w:p>
        </w:tc>
        <w:tc>
          <w:tcPr/>
          <w:p>
            <w:r>
              <w:t>80.8 gal/hr</w:t>
            </w:r>
          </w:p>
        </w:tc>
        <w:tc>
          <w:tcPr/>
          <w:p>
            <w:r>
              <w:t>0.2%</w:t>
            </w:r>
          </w:p>
        </w:tc>
      </w:tr>
      <w:tr>
        <w:tc>
          <w:tcPr/>
          <w:p>
            <w:r>
              <w:t>Fig A-18 max-range example (IAS / TAS / FF / TQ)</w:t>
            </w:r>
          </w:p>
        </w:tc>
        <w:tc>
          <w:tcPr/>
          <w:p>
            <w:r>
              <w:t>138 / 161 / 71 / 2,500</w:t>
            </w:r>
          </w:p>
        </w:tc>
        <w:tc>
          <w:tcPr/>
          <w:p>
            <w:r>
              <w:t>138 / 161 / 70.7 / 2,487</w:t>
            </w:r>
          </w:p>
        </w:tc>
        <w:tc>
          <w:tcPr/>
          <w:p>
            <w:r>
              <w:t>exact / exact / 0.5% / 0.5%</w:t>
            </w:r>
          </w:p>
        </w:tc>
      </w:tr>
      <w:tr>
        <w:tc>
          <w:tcPr/>
          <w:p>
            <w:r>
              <w:t>Rotate and climb-out speeds (Tables A-1/A-3)</w:t>
            </w:r>
          </w:p>
        </w:tc>
        <w:tc>
          <w:tcPr/>
          <w:p>
            <w:r>
              <w:t>88 / 96 kt</w:t>
            </w:r>
          </w:p>
        </w:tc>
        <w:tc>
          <w:tcPr/>
          <w:p>
            <w:r>
              <w:t>88 / 96 kt</w:t>
            </w:r>
          </w:p>
        </w:tc>
        <w:tc>
          <w:tcPr/>
          <w:p>
            <w:r>
              <w:t>exact</w:t>
            </w:r>
          </w:p>
        </w:tc>
      </w:tr>
      <w:tr>
        <w:tc>
          <w:tcPr/>
          <w:p>
            <w:r>
              <w:t>W&amp;B vs Form F 22-0003 (ZFW, ramp, takeoff wt/mom/CG)</w:t>
            </w:r>
          </w:p>
        </w:tc>
        <w:tc>
          <w:tcPr/>
          <w:p>
            <w:r>
              <w:t>—</w:t>
            </w:r>
          </w:p>
        </w:tc>
        <w:tc>
          <w:tcPr/>
          <w:p>
            <w:r>
              <w:t>—</w:t>
            </w:r>
          </w:p>
        </w:tc>
        <w:tc>
          <w:tcPr/>
          <w:p>
            <w:r>
              <w:t>exact</w:t>
            </w:r>
          </w:p>
        </w:tc>
      </w:tr>
      <w:tr>
        <w:tc>
          <w:tcPr/>
          <w:p>
            <w:r>
              <w:t>W&amp;B vs unit workbook, full chain, workbook-sourced tail</w:t>
            </w:r>
          </w:p>
        </w:tc>
        <w:tc>
          <w:tcPr/>
          <w:p>
            <w:r>
              <w:t>—</w:t>
            </w:r>
          </w:p>
        </w:tc>
        <w:tc>
          <w:tcPr/>
          <w:p>
            <w:r>
              <w:t>—</w:t>
            </w:r>
          </w:p>
        </w:tc>
        <w:tc>
          <w:tcPr/>
          <w:p>
            <w:r>
              <w:t>exact (all blocks, zero-diff)</w:t>
            </w:r>
          </w:p>
        </w:tc>
      </w:tr>
    </w:tbl>
    <w:p>
      <w:r>
        <w:t>Two independent cross-checks supplement the worked examples. Specific range computed from the digitized cruise panels (TAS divided by fuel flow) agrees with the separately digitized specific-range charts to approximately 3.5% RMS across the envelope. And the printed VNE reference lines and the dual fuel-flow scales, described above, verify the axis calibrations chart-wide.</w:t>
      </w:r>
    </w:p>
    <w:p>
      <w:pPr>
        <w:pStyle w:val="Heading2"/>
        <ck:id v="7-known-limitations-and-source-document-findings"/>
      </w:pPr>
      <w:bookmarkStart w:id="7" w:name="_7_known_limitations_and_source_document"/>
      <w:r>
        <w:t>7. Known Limitations and Source-Document Findings</w:t>
      </w:r>
      <w:bookmarkEnd w:id="7"/>
    </w:p>
    <w:p>
      <w:pPr>
        <w:pStyle w:val="CkNote"/>
      </w:pPr>
      <w:r>
        <w:t>The tool's About &amp; Methods panel carries this list in full; the items below are those a standards reviewer should know.</w:t>
      </w:r>
    </w:p>
    <w:p>
      <w:r>
        <w:t>The Fig A-1 takeoff worked example does not validate to the same tolerance as the other families — the example's entry arrow is drawn at the ISA-curve crossing rather than on the printed 6,000-ft PA curve (finding SD-1). The engine's entry point matches the correct printed curve within 0.4%, and rescaling the printed example to the correct entry agrees with the engine within about 2.5%. Additional findings: the Fig A-4/A-5 climb example arrows are internally inconsistent (SD-2); Fig A-11 is titled "Unpaved Runway" while its conditions block reads "paved" — treated as unpaved per the title (SD-3); Fig A-13 (engine torque for takeoff) resisted reliable automated digitization and its numeric torque-available check is deferred — torque limits are enforced and displayed instead (SD-4); and the Fig A-7 approach-speed axis reads about 1.4 kt above the Table A-5 (1.3 VS) interpolation — the tool uses the printed table (SD-5). One cruise panel (16,000 ft, ISA+10) failed calibration and is bridged by interpolation from its neighbors, and the hottest high-altitude panels carry reduced-span curves reflecting the chart's own gray-zone limits.</w:t>
      </w:r>
    </w:p>
    <w:p>
      <w:pPr>
        <w:pStyle w:val="Heading2"/>
        <ck:id v="8-configuration-control"/>
      </w:pPr>
      <w:bookmarkStart w:id="8" w:name="_8_configuration_control"/>
      <w:r>
        <w:t>8. Configuration Control</w:t>
      </w:r>
      <w:bookmarkEnd w:id="8"/>
    </w:p>
    <w:p>
      <w:r>
        <w:t>Each released version is numbered, carries its engine version in the page footer, and is archived; the current version sits at the base level of the unit's tool folder with all superseded versions retained in the Archive subfolder. The About &amp; Methods panel inside the tool documents the engine provenance, method decisions, and source findings for the version in hand.</w:t>
      </w:r>
    </w:p>
    <w:sectPr>
      <w:pgSz w:w="12240" w:h="15840"/>
      <w:pgMar w:top="1440" w:right="1440" w:bottom="1440" w:left="1440" w:header="720" w:footer="720" w:gutter="0"/>
    </w:sectPr>
  </w:body>
</w:document>
</file>

<file path=word/fontTable.xml><?xml version="1.0" encoding="utf-8"?>
<w:fonts xmlns:w="http://schemas.openxmlformats.org/wordprocessingml/2006/main">
  <w:font w:name="Calibri">
    <w:family w:val="swiss"/>
  </w:font>
  <w:font w:name="Calibri Light">
    <w:family w:val="swiss"/>
  </w:font>
  <w:font w:name="Consolas">
    <w:family w:val="modern"/>
  </w:font>
</w:fonts>
</file>

<file path=word/numbering.xml><?xml version="1.0" encoding="utf-8"?>
<w:numbering xmlns:w="http://schemas.openxmlformats.org/wordprocessingml/2006/main">
  <w:abstractNum w:abstractNumId="1">
    <w:multiLevelType w:val="hybridMultilevel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◦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</w:lvl>
    <w:lvl w:ilvl="3">
      <w:start w:val="1"/>
      <w:numFmt w:val="bullet"/>
      <w:lvlText w:val="•"/>
      <w:lvlJc w:val="left"/>
      <w:pPr>
        <w:ind w:left="2880" w:hanging="360"/>
      </w:pPr>
    </w:lvl>
    <w:lvl w:ilvl="4">
      <w:start w:val="1"/>
      <w:numFmt w:val="bullet"/>
      <w:lvlText w:val="◦"/>
      <w:lvlJc w:val="left"/>
      <w:pPr>
        <w:ind w:left="3600" w:hanging="360"/>
      </w:pPr>
    </w:lvl>
    <w:lvl w:ilvl="5">
      <w:start w:val="1"/>
      <w:numFmt w:val="bullet"/>
      <w:lvlText w:val="▪"/>
      <w:lvlJc w:val="left"/>
      <w:pPr>
        <w:ind w:left="4320" w:hanging="360"/>
      </w:pPr>
    </w:lvl>
    <w:lvl w:ilvl="6">
      <w:start w:val="1"/>
      <w:numFmt w:val="bullet"/>
      <w:lvlText w:val="•"/>
      <w:lvlJc w:val="left"/>
      <w:pPr>
        <w:ind w:left="5040" w:hanging="360"/>
      </w:pPr>
    </w:lvl>
    <w:lvl w:ilvl="7">
      <w:start w:val="1"/>
      <w:numFmt w:val="bullet"/>
      <w:lvlText w:val="◦"/>
      <w:lvlJc w:val="left"/>
      <w:pPr>
        <w:ind w:left="5760" w:hanging="360"/>
      </w:pPr>
    </w:lvl>
    <w:lvl w:ilvl="8">
      <w:start w:val="1"/>
      <w:numFmt w:val="bullet"/>
      <w:lvlText w:val="▪"/>
      <w:lvlJc w:val="left"/>
      <w:pPr>
        <w:ind w:left="6480" w:hanging="360"/>
      </w:pPr>
    </w:lvl>
  </w:abstractNum>
  <w:abstractNum w:abstractNumId="2">
    <w:multiLevelType w:val="hybrid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1."/>
      <w:lvlJc w:val="left"/>
      <w:pPr>
        <w:ind w:left="2880" w:hanging="360"/>
      </w:pPr>
    </w:lvl>
    <w:lvl w:ilvl="4">
      <w:start w:val="1"/>
      <w:numFmt w:val="decimal"/>
      <w:lvlText w:val="%2."/>
      <w:lvlJc w:val="left"/>
      <w:pPr>
        <w:ind w:left="3600" w:hanging="360"/>
      </w:pPr>
    </w:lvl>
    <w:lvl w:ilvl="5">
      <w:start w:val="1"/>
      <w:numFmt w:val="decimal"/>
      <w:lvlText w:val="%3."/>
      <w:lvlJc w:val="left"/>
      <w:pPr>
        <w:ind w:left="4320" w:hanging="360"/>
      </w:pPr>
    </w:lvl>
    <w:lvl w:ilvl="6">
      <w:start w:val="1"/>
      <w:numFmt w:val="decimal"/>
      <w:lvlText w:val="%1."/>
      <w:lvlJc w:val="left"/>
      <w:pPr>
        <w:ind w:left="5040" w:hanging="360"/>
      </w:pPr>
    </w:lvl>
    <w:lvl w:ilvl="7">
      <w:start w:val="1"/>
      <w:numFmt w:val="decimal"/>
      <w:lvlText w:val="%2."/>
      <w:lvlJc w:val="left"/>
      <w:pPr>
        <w:ind w:left="5760" w:hanging="360"/>
      </w:pPr>
    </w:lvl>
    <w:lvl w:ilvl="8">
      <w:start w:val="1"/>
      <w:numFmt w:val="decimal"/>
      <w:lvlText w:val="%3."/>
      <w:lvlJc w:val="left"/>
      <w:pPr>
        <w:ind w:left="6480" w:hanging="360"/>
      </w:pPr>
    </w:lvl>
  </w:abstractNum>
  <w:abstractNum w:abstractNumId="3">
    <w:multiLevelType w:val="hybridMultilevel"/>
    <w:lvl w:ilvl="0">
      <w:start w:val="1"/>
      <w:numFmt w:val="bullet"/>
      <w:lvlText w:val="☐"/>
      <w:lvlJc w:val="left"/>
      <w:pPr>
        <w:ind w:left="720" w:hanging="360"/>
      </w:pPr>
    </w:lvl>
    <w:lvl w:ilvl="1">
      <w:start w:val="1"/>
      <w:numFmt w:val="bullet"/>
      <w:lvlText w:val="☐"/>
      <w:lvlJc w:val="left"/>
      <w:pPr>
        <w:ind w:left="1440" w:hanging="360"/>
      </w:pPr>
    </w:lvl>
    <w:lvl w:ilvl="2">
      <w:start w:val="1"/>
      <w:numFmt w:val="bullet"/>
      <w:lvlText w:val="☐"/>
      <w:lvlJc w:val="left"/>
      <w:pPr>
        <w:ind w:left="2160" w:hanging="360"/>
      </w:pPr>
    </w:lvl>
    <w:lvl w:ilvl="3">
      <w:start w:val="1"/>
      <w:numFmt w:val="bullet"/>
      <w:lvlText w:val="☐"/>
      <w:lvlJc w:val="left"/>
      <w:pPr>
        <w:ind w:left="2880" w:hanging="360"/>
      </w:pPr>
    </w:lvl>
    <w:lvl w:ilvl="4">
      <w:start w:val="1"/>
      <w:numFmt w:val="bullet"/>
      <w:lvlText w:val="☐"/>
      <w:lvlJc w:val="left"/>
      <w:pPr>
        <w:ind w:left="3600" w:hanging="360"/>
      </w:pPr>
    </w:lvl>
    <w:lvl w:ilvl="5">
      <w:start w:val="1"/>
      <w:numFmt w:val="bullet"/>
      <w:lvlText w:val="☐"/>
      <w:lvlJc w:val="left"/>
      <w:pPr>
        <w:ind w:left="4320" w:hanging="360"/>
      </w:pPr>
    </w:lvl>
    <w:lvl w:ilvl="6">
      <w:start w:val="1"/>
      <w:numFmt w:val="bullet"/>
      <w:lvlText w:val="☐"/>
      <w:lvlJc w:val="left"/>
      <w:pPr>
        <w:ind w:left="5040" w:hanging="360"/>
      </w:pPr>
    </w:lvl>
    <w:lvl w:ilvl="7">
      <w:start w:val="1"/>
      <w:numFmt w:val="bullet"/>
      <w:lvlText w:val="☐"/>
      <w:lvlJc w:val="left"/>
      <w:pPr>
        <w:ind w:left="5760" w:hanging="360"/>
      </w:pPr>
    </w:lvl>
    <w:lvl w:ilvl="8">
      <w:start w:val="1"/>
      <w:numFmt w:val="bullet"/>
      <w:lvlText w:val="☐"/>
      <w:lvlJc w:val="left"/>
      <w:pPr>
        <w:ind w:left="6480" w:hanging="360"/>
      </w:pPr>
    </w:lvl>
  </w:abstractNum>
  <w:abstractNum w:abstractNumId="4">
    <w:multiLevelType w:val="hybridMultilevel"/>
    <w:lvl w:ilvl="0">
      <w:start w:val="1"/>
      <w:numFmt w:val="bullet"/>
      <w:lvlText w:val="☑"/>
      <w:lvlJc w:val="left"/>
      <w:pPr>
        <w:ind w:left="720" w:hanging="360"/>
      </w:pPr>
    </w:lvl>
    <w:lvl w:ilvl="1">
      <w:start w:val="1"/>
      <w:numFmt w:val="bullet"/>
      <w:lvlText w:val="☑"/>
      <w:lvlJc w:val="left"/>
      <w:pPr>
        <w:ind w:left="1440" w:hanging="360"/>
      </w:pPr>
    </w:lvl>
    <w:lvl w:ilvl="2">
      <w:start w:val="1"/>
      <w:numFmt w:val="bullet"/>
      <w:lvlText w:val="☑"/>
      <w:lvlJc w:val="left"/>
      <w:pPr>
        <w:ind w:left="2160" w:hanging="360"/>
      </w:pPr>
    </w:lvl>
    <w:lvl w:ilvl="3">
      <w:start w:val="1"/>
      <w:numFmt w:val="bullet"/>
      <w:lvlText w:val="☑"/>
      <w:lvlJc w:val="left"/>
      <w:pPr>
        <w:ind w:left="2880" w:hanging="360"/>
      </w:pPr>
    </w:lvl>
    <w:lvl w:ilvl="4">
      <w:start w:val="1"/>
      <w:numFmt w:val="bullet"/>
      <w:lvlText w:val="☑"/>
      <w:lvlJc w:val="left"/>
      <w:pPr>
        <w:ind w:left="3600" w:hanging="360"/>
      </w:pPr>
    </w:lvl>
    <w:lvl w:ilvl="5">
      <w:start w:val="1"/>
      <w:numFmt w:val="bullet"/>
      <w:lvlText w:val="☑"/>
      <w:lvlJc w:val="left"/>
      <w:pPr>
        <w:ind w:left="4320" w:hanging="360"/>
      </w:pPr>
    </w:lvl>
    <w:lvl w:ilvl="6">
      <w:start w:val="1"/>
      <w:numFmt w:val="bullet"/>
      <w:lvlText w:val="☑"/>
      <w:lvlJc w:val="left"/>
      <w:pPr>
        <w:ind w:left="5040" w:hanging="360"/>
      </w:pPr>
    </w:lvl>
    <w:lvl w:ilvl="7">
      <w:start w:val="1"/>
      <w:numFmt w:val="bullet"/>
      <w:lvlText w:val="☑"/>
      <w:lvlJc w:val="left"/>
      <w:pPr>
        <w:ind w:left="5760" w:hanging="360"/>
      </w:pPr>
    </w:lvl>
    <w:lvl w:ilvl="8">
      <w:start w:val="1"/>
      <w:numFmt w:val="bullet"/>
      <w:lvlText w:val="☑"/>
      <w:lvlJc w:val="left"/>
      <w:pPr>
        <w:ind w:left="6480" w:hanging="360"/>
      </w:pPr>
    </w:lvl>
  </w:abstractNum>
</w:numbering>
</file>

<file path=word/settings.xml><?xml version="1.0" encoding="utf-8"?>
<w:settings xmlns:w="http://schemas.openxmlformats.org/wordprocessingml/2006/main">
  <w:defaultTabStop w:val="720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Calibri" w:hAnsi="Calibri" w:cs="Calibri"/>
        <w:sz w:val="22"/>
        <w:szCs w:val="22"/>
        <w:lang w:val="en-US"/>
      </w:rPr>
    </w:rPrDefault>
    <w:pPrDefault>
      <w:pPr>
        <w:spacing w:after="160" w:line="312" w:lineRule="auto"/>
      </w:pPr>
    </w:pPrDefault>
  </w:docDefaults>
  <w:style w:type="paragraph" w:styleId="Normal" w:default="1">
    <w:name w:val="Normal"/>
  </w:style>
  <w:style w:type="paragraph" w:styleId="Heading1" w:default="0">
    <w:name w:val="heading 1"/>
    <w:basedOn w:val="Normal"/>
    <w:next w:val="Normal"/>
    <w:pPr>
      <w:keepNext/>
      <w:keepLines/>
      <w:spacing w:before="320" w:line="264" w:lineRule="auto"/>
      <w:outlineLvl w:val="0"/>
    </w:pPr>
    <w:rPr>
      <w:rFonts w:ascii="Calibri Light" w:hAnsi="Calibri Light"/>
      <w:b/>
      <w:color w:val="1A1A1A"/>
      <w:sz w:val="43"/>
      <w:szCs w:val="43"/>
    </w:rPr>
  </w:style>
  <w:style w:type="paragraph" w:styleId="Heading2" w:default="0">
    <w:name w:val="heading 2"/>
    <w:basedOn w:val="Normal"/>
    <w:next w:val="Normal"/>
    <w:pPr>
      <w:keepNext/>
      <w:keepLines/>
      <w:spacing w:before="320" w:line="264" w:lineRule="auto"/>
      <w:outlineLvl w:val="1"/>
    </w:pPr>
    <w:rPr>
      <w:rFonts w:ascii="Calibri Light" w:hAnsi="Calibri Light"/>
      <w:b/>
      <w:sz w:val="34"/>
      <w:szCs w:val="34"/>
    </w:rPr>
  </w:style>
  <w:style w:type="paragraph" w:styleId="Heading3" w:default="0">
    <w:name w:val="heading 3"/>
    <w:basedOn w:val="Normal"/>
    <w:next w:val="Normal"/>
    <w:pPr>
      <w:keepNext/>
      <w:keepLines/>
      <w:spacing w:before="160" w:line="264" w:lineRule="auto"/>
      <w:outlineLvl w:val="2"/>
    </w:pPr>
    <w:rPr>
      <w:rFonts w:ascii="Calibri Light" w:hAnsi="Calibri Light"/>
      <w:b/>
      <w:sz w:val="28"/>
      <w:szCs w:val="28"/>
    </w:rPr>
  </w:style>
  <w:style w:type="paragraph" w:styleId="Heading4" w:default="0">
    <w:name w:val="heading 4"/>
    <w:basedOn w:val="Normal"/>
    <w:next w:val="Normal"/>
    <w:pPr>
      <w:keepNext/>
      <w:keepLines/>
      <w:spacing w:before="160" w:line="264" w:lineRule="auto"/>
      <w:outlineLvl w:val="3"/>
    </w:pPr>
    <w:rPr>
      <w:rFonts w:ascii="Calibri Light" w:hAnsi="Calibri Light"/>
      <w:b/>
      <w:sz w:val="22"/>
      <w:szCs w:val="22"/>
    </w:rPr>
  </w:style>
  <w:style w:type="paragraph" w:styleId="Heading5" w:default="0">
    <w:name w:val="heading 5"/>
    <w:basedOn w:val="Normal"/>
    <w:next w:val="Normal"/>
    <w:pPr>
      <w:keepNext/>
      <w:keepLines/>
      <w:spacing w:before="160" w:line="264" w:lineRule="auto"/>
      <w:outlineLvl w:val="4"/>
    </w:pPr>
    <w:rPr>
      <w:rFonts w:ascii="Calibri Light" w:hAnsi="Calibri Light"/>
      <w:b/>
      <w:sz w:val="22"/>
      <w:szCs w:val="22"/>
    </w:rPr>
  </w:style>
  <w:style w:type="paragraph" w:styleId="Heading6" w:default="0">
    <w:name w:val="heading 6"/>
    <w:basedOn w:val="Normal"/>
    <w:next w:val="Normal"/>
    <w:pPr>
      <w:keepNext/>
      <w:keepLines/>
      <w:spacing w:before="160" w:line="264" w:lineRule="auto"/>
      <w:outlineLvl w:val="5"/>
    </w:pPr>
    <w:rPr>
      <w:rFonts w:ascii="Calibri Light" w:hAnsi="Calibri Light"/>
      <w:b/>
      <w:sz w:val="22"/>
      <w:szCs w:val="22"/>
    </w:rPr>
  </w:style>
  <w:style w:type="paragraph" w:styleId="Quote" w:default="0">
    <w:name w:val="Quote"/>
    <w:basedOn w:val="Normal"/>
    <w:pPr>
      <w:ind w:left="320"/>
      <w:pBdr>
        <w:left w:val="single" w:sz="24" w:space="12" w:color="BFBFBF"/>
      </w:pBdr>
    </w:pPr>
    <w:rPr>
      <w:i/>
      <w:color w:val="595959"/>
    </w:rPr>
  </w:style>
  <w:style w:type="character" w:styleId="CkHighlight">
    <w:name w:val="Clarkdown Highlight"/>
    <w:rPr>
      <w:shd w:val="clear" w:fill="FFF2A8"/>
    </w:rPr>
  </w:style>
  <w:style w:type="character" w:styleId="CkSmallcaps">
    <w:name w:val="Clarkdown Smallcaps"/>
    <w:rPr>
      <w:smallCaps/>
    </w:rPr>
  </w:style>
  <w:style w:type="character" w:styleId="CkUnderline">
    <w:name w:val="Clarkdown Underline"/>
    <w:rPr>
      <w:u w:val="single"/>
    </w:rPr>
  </w:style>
  <w:style w:type="character" w:styleId="CkMuted">
    <w:name w:val="Clarkdown Muted"/>
    <w:rPr>
      <w:color w:val="595959"/>
    </w:rPr>
  </w:style>
  <w:style w:type="character" w:styleId="CkAccent">
    <w:name w:val="Clarkdown Accent"/>
    <w:rPr>
      <w:color w:val="1A1A1A"/>
    </w:rPr>
  </w:style>
  <w:style w:type="character" w:styleId="CkCaption">
    <w:name w:val="Clarkdown Caption"/>
    <w:rPr>
      <w:i/>
      <w:color w:val="595959"/>
      <w:sz w:val="20"/>
      <w:szCs w:val="20"/>
    </w:rPr>
  </w:style>
  <w:style w:type="paragraph" w:styleId="CkDisplay" w:default="0">
    <w:name w:val="Clarkdown Display"/>
    <w:basedOn w:val="Normal"/>
    <w:next w:val="Normal"/>
    <w:pPr>
      <w:keepNext/>
      <w:keepLines/>
      <w:spacing w:after="240" w:line="264" w:lineRule="auto"/>
    </w:pPr>
    <w:rPr>
      <w:rFonts w:ascii="Calibri Light" w:hAnsi="Calibri Light"/>
      <w:b/>
      <w:color w:val="1A1A1A"/>
      <w:sz w:val="132"/>
      <w:szCs w:val="132"/>
    </w:rPr>
  </w:style>
  <w:style w:type="character" w:styleId="CkKicker">
    <w:name w:val="Clarkdown Kicker"/>
    <w:rPr>
      <w:smallCaps/>
      <w:spacing w:val="18"/>
      <w:color w:val="595959"/>
    </w:rPr>
  </w:style>
  <w:style w:type="paragraph" w:styleId="CkTrackedCaps" w:default="0">
    <w:name w:val="Clarkdown Tracked Caps"/>
    <w:basedOn w:val="Normal"/>
    <w:next w:val="Normal"/>
    <w:rPr>
      <w:smallCaps/>
      <w:spacing w:val="18"/>
    </w:rPr>
  </w:style>
  <w:style w:type="paragraph" w:styleId="Title" w:default="0">
    <w:name w:val="Title"/>
    <w:basedOn w:val="Normal"/>
    <w:next w:val="Normal"/>
    <w:pPr>
      <w:keepNext/>
      <w:keepLines/>
      <w:spacing w:after="240" w:line="264" w:lineRule="auto"/>
    </w:pPr>
    <w:rPr>
      <w:rFonts w:ascii="Calibri Light" w:hAnsi="Calibri Light"/>
      <w:b/>
      <w:sz w:val="54"/>
      <w:szCs w:val="54"/>
    </w:rPr>
  </w:style>
  <w:style w:type="character" w:styleId="Hyperlink">
    <w:name w:val="Hyperlink"/>
    <w:rPr>
      <w:color w:val="1A1A1A"/>
      <w:u w:val="single"/>
    </w:rPr>
  </w:style>
  <w:style w:type="paragraph" w:styleId="CkCodeBlock" w:default="0">
    <w:name w:val="Clarkdown Code Block"/>
    <w:basedOn w:val="Normal"/>
    <w:pPr>
      <w:shd w:val="clear" w:fill="EDEDED"/>
      <w:spacing w:after="0" w:line="240" w:lineRule="auto"/>
    </w:pPr>
    <w:rPr>
      <w:rFonts w:ascii="Consolas" w:hAnsi="Consolas"/>
      <w:noProof/>
      <w:sz w:val="20"/>
    </w:rPr>
  </w:style>
  <w:style w:type="character" w:styleId="CkCode">
    <w:name w:val="Clarkdown Code"/>
    <w:rPr>
      <w:rFonts w:ascii="Consolas" w:hAnsi="Consolas"/>
      <w:shd w:val="clear" w:fill="EDEDED"/>
      <w:sz w:val="20"/>
    </w:rPr>
  </w:style>
  <w:style w:type="paragraph" w:styleId="Caption" w:default="0">
    <w:name w:val="caption"/>
    <w:basedOn w:val="Normal"/>
    <w:rPr>
      <w:i/>
      <w:sz w:val="18"/>
    </w:rPr>
  </w:style>
  <w:style w:type="paragraph" w:styleId="ListParagraph" w:default="0">
    <w:name w:val="List Paragraph"/>
    <w:basedOn w:val="Normal"/>
    <w:pPr>
      <w:ind w:left="320"/>
    </w:pPr>
  </w:style>
  <w:style w:type="paragraph" w:styleId="CkUnknown" w:default="0">
    <w:name w:val="Clarkdown Unknown"/>
    <w:basedOn w:val="Normal"/>
    <w:pPr>
      <w:shd w:val="clear" w:fill="FFEEEE"/>
    </w:pPr>
  </w:style>
  <w:style w:type="paragraph" w:styleId="FootnoteText" w:default="0">
    <w:name w:val="footnote text"/>
    <w:basedOn w:val="Normal"/>
    <w:rPr>
      <w:sz w:val="18"/>
    </w:rPr>
  </w:style>
  <w:style w:type="character" w:styleId="FootnoteReference">
    <w:name w:val="footnote reference"/>
    <w:rPr>
      <w:vertAlign w:val="superscript"/>
    </w:rPr>
  </w:style>
  <w:style w:type="table" w:styleId="CkTable">
    <w:name w:val="Clarkdown Table"/>
    <w:tblPr>
      <w:tblBorders>
        <w:top w:val="single" w:sz="4" w:color="BFBFBF"/>
        <w:left w:val="single" w:sz="4" w:color="BFBFBF"/>
        <w:bottom w:val="single" w:sz="4" w:color="BFBFBF"/>
        <w:right w:val="single" w:sz="4" w:color="BFBFBF"/>
        <w:insideH w:val="single" w:sz="4" w:color="BFBFBF"/>
        <w:insideV w:val="single" w:sz="4" w:color="BFBFBF"/>
      </w:tblBorders>
      <w:tblCellMar>
        <w:top w:w="80" w:type="dxa"/>
        <w:left w:w="80" w:type="dxa"/>
        <w:bottom w:w="80" w:type="dxa"/>
        <w:right w:w="80" w:type="dxa"/>
      </w:tblCellMar>
    </w:tblPr>
  </w:style>
  <w:style w:type="table" w:styleId="CkLayout">
    <w:name w:val="Clarkdown Layout"/>
    <w:tblPr>
      <w:tblBorders>
        <w:top w:val="none"/>
        <w:left w:val="none"/>
        <w:bottom w:val="none"/>
        <w:right w:val="none"/>
        <w:insideH w:val="none"/>
        <w:insideV w:val="none"/>
      </w:tblBorders>
    </w:tblPr>
  </w:style>
  <w:style w:type="paragraph" w:styleId="CkNote" w:default="0">
    <w:name w:val="Clarkdown Note"/>
    <w:basedOn w:val="Normal"/>
    <w:pPr>
      <w:pBdr>
        <w:left w:val="single" w:sz="24" w:space="8" w:color="2F6FEB"/>
      </w:pBdr>
      <w:ind w:left="240"/>
    </w:pPr>
  </w:style>
  <w:style w:type="paragraph" w:styleId="CkTip" w:default="0">
    <w:name w:val="Clarkdown Tip"/>
    <w:basedOn w:val="Normal"/>
    <w:pPr>
      <w:pBdr>
        <w:left w:val="single" w:sz="24" w:space="8" w:color="1A7F37"/>
      </w:pBdr>
      <w:ind w:left="240"/>
    </w:pPr>
  </w:style>
  <w:style w:type="paragraph" w:styleId="CkWarning" w:default="0">
    <w:name w:val="Clarkdown Warning"/>
    <w:basedOn w:val="Normal"/>
    <w:pPr>
      <w:pBdr>
        <w:left w:val="single" w:sz="24" w:space="8" w:color="9A6700"/>
      </w:pBdr>
      <w:ind w:left="240"/>
    </w:pPr>
  </w:style>
  <w:style w:type="paragraph" w:styleId="CkImportant" w:default="0">
    <w:name w:val="Clarkdown Important"/>
    <w:basedOn w:val="Normal"/>
    <w:pPr>
      <w:pBdr>
        <w:left w:val="single" w:sz="24" w:space="8" w:color="8250DF"/>
      </w:pBdr>
      <w:ind w:left="240"/>
    </w:pPr>
  </w:style>
  <w:style w:type="paragraph" w:styleId="CkCaution" w:default="0">
    <w:name w:val="Clarkdown Caution"/>
    <w:basedOn w:val="Normal"/>
    <w:pPr>
      <w:pBdr>
        <w:left w:val="single" w:sz="24" w:space="8" w:color="CF222E"/>
      </w:pBdr>
      <w:ind w:left="240"/>
    </w:pPr>
  </w:style>
</w:styles>
</file>

<file path=word/_rels/document.xml.rels><?xml version="1.0" encoding="UTF-8" standalone="yes"?>
<Relationships xmlns="http://schemas.openxmlformats.org/package/2006/relationships"><Relationship Id="rIdStyles" Type="http://schemas.openxmlformats.org/officeDocument/2006/relationships/styles" Target="styles.xml"/><Relationship Id="rIdNumbering" Type="http://schemas.openxmlformats.org/officeDocument/2006/relationships/numbering" Target="numbering.xml"/><Relationship Id="rIdFonts" Type="http://schemas.openxmlformats.org/officeDocument/2006/relationships/fontTable" Target="fontTable.xml"/><Relationship Id="rIdSettings" Type="http://schemas.openxmlformats.org/officeDocument/2006/relationships/settings" Target="settings.xml"/></Relationship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