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43F9E" w14:textId="77777777" w:rsidR="001A18C9" w:rsidRDefault="001A18C9" w:rsidP="001A18C9">
      <w:pPr>
        <w:pStyle w:val="NormalWeb"/>
      </w:pPr>
      <w:r>
        <w:t xml:space="preserve">An OpenClaw-inspired Python implementation should be built around a </w:t>
      </w:r>
      <w:r>
        <w:rPr>
          <w:rStyle w:val="Strong"/>
        </w:rPr>
        <w:t>single gateway service</w:t>
      </w:r>
      <w:r>
        <w:t xml:space="preserve"> that owns every inbound and outbound interaction, instead of letting each channel adapter call the agent runtime directly. In practice, that means Slack, Telegram, web chat, or other adapters terminate at a </w:t>
      </w:r>
      <w:proofErr w:type="spellStart"/>
      <w:r>
        <w:t>FastAPI</w:t>
      </w:r>
      <w:proofErr w:type="spellEnd"/>
      <w:r>
        <w:t xml:space="preserve"> gateway, which then performs routing, resolves or creates the correct session, persists the user turn, invokes the </w:t>
      </w:r>
      <w:proofErr w:type="spellStart"/>
      <w:r>
        <w:t>LangGraph</w:t>
      </w:r>
      <w:proofErr w:type="spellEnd"/>
      <w:r>
        <w:t xml:space="preserve"> workflow, stores the assistant turn, and finally dispatches the reply. That mirrors </w:t>
      </w:r>
      <w:proofErr w:type="spellStart"/>
      <w:r>
        <w:t>OpenClaw’s</w:t>
      </w:r>
      <w:proofErr w:type="spellEnd"/>
      <w:r>
        <w:t xml:space="preserve"> model of a single long-running gateway that owns sessions, channel state, and node connectivity over WebSocket, and it is the key architectural choice that keeps idempotency, auditability, and policy enforcement centralized rather than scattered across adapters. In the Python design from your document, that gateway sits in front of distinct services for routing, session storage, context assembly, memory, tool registration, scheduling, and optional node execution, which is exactly the separation developers want if they expect the system to scale beyond a single-agent prototype. </w:t>
      </w:r>
    </w:p>
    <w:p w14:paraId="49494A9E" w14:textId="77777777" w:rsidR="001A18C9" w:rsidRDefault="001A18C9" w:rsidP="001A18C9">
      <w:pPr>
        <w:pStyle w:val="NormalWeb"/>
      </w:pPr>
      <w:r>
        <w:t xml:space="preserve">From a runtime perspective, the application functions as a </w:t>
      </w:r>
      <w:r>
        <w:rPr>
          <w:rStyle w:val="Strong"/>
        </w:rPr>
        <w:t>deterministic orchestration pipeline</w:t>
      </w:r>
      <w:r>
        <w:t xml:space="preserve"> rather than a single “chatbot function.” </w:t>
      </w:r>
      <w:proofErr w:type="spellStart"/>
      <w:r>
        <w:t>LangGraph</w:t>
      </w:r>
      <w:proofErr w:type="spellEnd"/>
      <w:r>
        <w:t xml:space="preserve"> is the execution layer, but it should receive already-resolved session state plus a deliberately assembled context bundle from a context service. That context layer is responsible for selecting recent transcript turns, compacting older history, injecting workspace instructions, and retrieving durable memory, while the tool registry exposes only typed, policy-approved capabilities to the graph. This is well aligned with </w:t>
      </w:r>
      <w:proofErr w:type="spellStart"/>
      <w:r>
        <w:t>OpenClaw’s</w:t>
      </w:r>
      <w:proofErr w:type="spellEnd"/>
      <w:r>
        <w:t xml:space="preserve"> own design language: sessions are first-class objects, direct messages can collapse into a long-lived </w:t>
      </w:r>
      <w:r>
        <w:rPr>
          <w:rStyle w:val="HTMLCode"/>
        </w:rPr>
        <w:t>main</w:t>
      </w:r>
      <w:r>
        <w:t xml:space="preserve"> session for continuity, context is treated as a bounded and explicit runtime artifact, and memory is externalized instead of being left implicit inside model state. For developers, the practical takeaway is that continuity, compaction, and tool access should all be modeled as explicit services with contracts and persistence, not as convenience helpers embedded in prompt-building code. </w:t>
      </w:r>
    </w:p>
    <w:p w14:paraId="1BC06E69" w14:textId="77777777" w:rsidR="001A18C9" w:rsidRDefault="001A18C9" w:rsidP="001A18C9">
      <w:pPr>
        <w:pStyle w:val="NormalWeb"/>
      </w:pPr>
      <w:r>
        <w:t xml:space="preserve">The final architectural characteristic that matters is </w:t>
      </w:r>
      <w:r>
        <w:rPr>
          <w:rStyle w:val="Strong"/>
        </w:rPr>
        <w:t>controlled execution and spec-driven delivery</w:t>
      </w:r>
      <w:r>
        <w:t xml:space="preserve">. Tools should be registered behind stable schemas, filtered through a policy/security layer, and optionally executed on remote node workers for privileged or host-specific operations, rather than giving the gateway unrestricted local power. </w:t>
      </w:r>
      <w:proofErr w:type="spellStart"/>
      <w:r>
        <w:t>OpenClaw’s</w:t>
      </w:r>
      <w:proofErr w:type="spellEnd"/>
      <w:r>
        <w:t xml:space="preserve"> node model and typed tool/plugin surfaces make that pattern explicit, and your Python alternative should preserve it by treating remote execution, approval flows, and scheduler-triggered work as first-class pathways that still re-enter the gateway lifecycle. That also fits a spec-kit implementation strategy well: developers can build the system across several specs that separately establish the constitution, gateway/session spine, context and memory services, tool/policy surfaces, scheduler behavior, node execution, and operational hardening, instead of trying to generate one oversized codebase in a single pass. </w:t>
      </w:r>
    </w:p>
    <w:p w14:paraId="43924B40" w14:textId="77777777" w:rsidR="00767294" w:rsidRDefault="00767294"/>
    <w:sectPr w:rsidR="007672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8C9"/>
    <w:rsid w:val="001A18C9"/>
    <w:rsid w:val="00767294"/>
    <w:rsid w:val="00975738"/>
    <w:rsid w:val="00995DED"/>
    <w:rsid w:val="00EC0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68B6B0"/>
  <w15:chartTrackingRefBased/>
  <w15:docId w15:val="{15A9765F-5422-CB47-B57D-770877533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8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8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8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8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8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8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8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8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8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8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8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8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8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8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8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8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8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8C9"/>
    <w:rPr>
      <w:rFonts w:eastAsiaTheme="majorEastAsia" w:cstheme="majorBidi"/>
      <w:color w:val="272727" w:themeColor="text1" w:themeTint="D8"/>
    </w:rPr>
  </w:style>
  <w:style w:type="paragraph" w:styleId="Title">
    <w:name w:val="Title"/>
    <w:basedOn w:val="Normal"/>
    <w:next w:val="Normal"/>
    <w:link w:val="TitleChar"/>
    <w:uiPriority w:val="10"/>
    <w:qFormat/>
    <w:rsid w:val="001A18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8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8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8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8C9"/>
    <w:pPr>
      <w:spacing w:before="160"/>
      <w:jc w:val="center"/>
    </w:pPr>
    <w:rPr>
      <w:i/>
      <w:iCs/>
      <w:color w:val="404040" w:themeColor="text1" w:themeTint="BF"/>
    </w:rPr>
  </w:style>
  <w:style w:type="character" w:customStyle="1" w:styleId="QuoteChar">
    <w:name w:val="Quote Char"/>
    <w:basedOn w:val="DefaultParagraphFont"/>
    <w:link w:val="Quote"/>
    <w:uiPriority w:val="29"/>
    <w:rsid w:val="001A18C9"/>
    <w:rPr>
      <w:i/>
      <w:iCs/>
      <w:color w:val="404040" w:themeColor="text1" w:themeTint="BF"/>
    </w:rPr>
  </w:style>
  <w:style w:type="paragraph" w:styleId="ListParagraph">
    <w:name w:val="List Paragraph"/>
    <w:basedOn w:val="Normal"/>
    <w:uiPriority w:val="34"/>
    <w:qFormat/>
    <w:rsid w:val="001A18C9"/>
    <w:pPr>
      <w:ind w:left="720"/>
      <w:contextualSpacing/>
    </w:pPr>
  </w:style>
  <w:style w:type="character" w:styleId="IntenseEmphasis">
    <w:name w:val="Intense Emphasis"/>
    <w:basedOn w:val="DefaultParagraphFont"/>
    <w:uiPriority w:val="21"/>
    <w:qFormat/>
    <w:rsid w:val="001A18C9"/>
    <w:rPr>
      <w:i/>
      <w:iCs/>
      <w:color w:val="0F4761" w:themeColor="accent1" w:themeShade="BF"/>
    </w:rPr>
  </w:style>
  <w:style w:type="paragraph" w:styleId="IntenseQuote">
    <w:name w:val="Intense Quote"/>
    <w:basedOn w:val="Normal"/>
    <w:next w:val="Normal"/>
    <w:link w:val="IntenseQuoteChar"/>
    <w:uiPriority w:val="30"/>
    <w:qFormat/>
    <w:rsid w:val="001A18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8C9"/>
    <w:rPr>
      <w:i/>
      <w:iCs/>
      <w:color w:val="0F4761" w:themeColor="accent1" w:themeShade="BF"/>
    </w:rPr>
  </w:style>
  <w:style w:type="character" w:styleId="IntenseReference">
    <w:name w:val="Intense Reference"/>
    <w:basedOn w:val="DefaultParagraphFont"/>
    <w:uiPriority w:val="32"/>
    <w:qFormat/>
    <w:rsid w:val="001A18C9"/>
    <w:rPr>
      <w:b/>
      <w:bCs/>
      <w:smallCaps/>
      <w:color w:val="0F4761" w:themeColor="accent1" w:themeShade="BF"/>
      <w:spacing w:val="5"/>
    </w:rPr>
  </w:style>
  <w:style w:type="paragraph" w:styleId="NormalWeb">
    <w:name w:val="Normal (Web)"/>
    <w:basedOn w:val="Normal"/>
    <w:uiPriority w:val="99"/>
    <w:semiHidden/>
    <w:unhideWhenUsed/>
    <w:rsid w:val="001A18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A18C9"/>
    <w:rPr>
      <w:b/>
      <w:bCs/>
    </w:rPr>
  </w:style>
  <w:style w:type="character" w:styleId="HTMLCode">
    <w:name w:val="HTML Code"/>
    <w:basedOn w:val="DefaultParagraphFont"/>
    <w:uiPriority w:val="99"/>
    <w:semiHidden/>
    <w:unhideWhenUsed/>
    <w:rsid w:val="001A18C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436</Words>
  <Characters>2727</Characters>
  <Application>Microsoft Office Word</Application>
  <DocSecurity>0</DocSecurity>
  <Lines>35</Lines>
  <Paragraphs>3</Paragraphs>
  <ScaleCrop>false</ScaleCrop>
  <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Cornell</dc:creator>
  <cp:keywords/>
  <dc:description/>
  <cp:lastModifiedBy>Scott Cornell</cp:lastModifiedBy>
  <cp:revision>1</cp:revision>
  <dcterms:created xsi:type="dcterms:W3CDTF">2026-03-21T21:13:00Z</dcterms:created>
  <dcterms:modified xsi:type="dcterms:W3CDTF">2026-03-21T21:13:00Z</dcterms:modified>
</cp:coreProperties>
</file>