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0CCD1" w14:textId="77777777" w:rsidR="006E3548" w:rsidRDefault="006E3548" w:rsidP="006E3548">
      <w:pPr>
        <w:pStyle w:val="NormalWeb"/>
      </w:pPr>
      <w:r>
        <w:t xml:space="preserve">n an OpenClaw-inspired Python system, memory is not “maintained” by hoping the model keeps enough of the prior chat inside its native context window. The architecture </w:t>
      </w:r>
      <w:proofErr w:type="gramStart"/>
      <w:r>
        <w:t>has to</w:t>
      </w:r>
      <w:proofErr w:type="gramEnd"/>
      <w:r>
        <w:t xml:space="preserve"> treat the model’s prompt as a </w:t>
      </w:r>
      <w:r>
        <w:rPr>
          <w:rStyle w:val="Strong"/>
        </w:rPr>
        <w:t>temporary working set</w:t>
      </w:r>
      <w:r>
        <w:t xml:space="preserve">, while the application itself owns continuity as durable state. That is the same core separation OpenClaw emphasizes: the Gateway is the source of truth for session state, the transcript </w:t>
      </w:r>
      <w:proofErr w:type="gramStart"/>
      <w:r>
        <w:t>is persisted</w:t>
      </w:r>
      <w:proofErr w:type="gramEnd"/>
      <w:r>
        <w:t xml:space="preserve"> independently of the model runtime, and the context engine decides what subset of that durable history is reconstructed for each run. In your architecture document, that same pattern already exists in the split between the gateway, session store, transcript persistence, context service, compaction flow, and durable memory outside the prompt. The practical implication for developers is that “memory” is really a layered reconstruction pipeline, not a single storage mechanism. At minimum, the system should keep four distinct layers in play for every turn: canonical transcript events, summary snapshots created by compaction, durable extracted memory facts, and a bounded in-memory prompt assembled just before the model call. That keeps the application resilient even when the model’s token window is exceeded, when tool output gets noisy, or when the runtime is restarted, because no single LLM prompt is ever treated as the authoritative record of the conversation. </w:t>
      </w:r>
    </w:p>
    <w:p w14:paraId="253E630A" w14:textId="77777777" w:rsidR="006E3548" w:rsidRDefault="006E3548" w:rsidP="006E3548">
      <w:pPr>
        <w:pStyle w:val="NormalWeb"/>
      </w:pPr>
      <w:r>
        <w:t xml:space="preserve">The lifecycle starts at </w:t>
      </w:r>
      <w:r>
        <w:rPr>
          <w:rStyle w:val="Strong"/>
        </w:rPr>
        <w:t>ingest time</w:t>
      </w:r>
      <w:r>
        <w:t xml:space="preserve">, when a new user or system message enters through the gateway. The first rule should be that the inbound event is written to the durable message store before any attempt is made to derive secondary memory from it. Your revision notes already push in this direction by requiring transcript persistence before derived-state jobs and by recommending an outbox-driven approach for memory extraction, embeddings, and reindexing. That is exactly the right operational model. The gateway receives the event, resolves or creates the session, appends the message to the canonical transcript, commits that write, and only then emits post-commit work such as summary maintenance, embedding generation, or structured memory extraction. This ordering matters because it guarantees the system can always rebuild continuity from the transcript alone, even if the process crashes before any downstream enrichment completes. OpenClaw’s own documentation draws a similar distinction between the session/transcript layer and the memory layer: transcript history and session state belong to the gateway, while memory plugins are a separate concern that provide search and retrieval rather than acting as the primary record. For a Python implementation, developers should enforce this by making transcript append operations transactional and making all derivative jobs idempotent with stable deduplication keys per turn. That way, retries never duplicate memory rows, never orphan summaries, and never create disagreement between what the user </w:t>
      </w:r>
      <w:proofErr w:type="gramStart"/>
      <w:r>
        <w:t>actually said</w:t>
      </w:r>
      <w:proofErr w:type="gramEnd"/>
      <w:r>
        <w:t xml:space="preserve"> and what later indexing jobs inferred from it. </w:t>
      </w:r>
    </w:p>
    <w:p w14:paraId="656A4CCC" w14:textId="77777777" w:rsidR="006E3548" w:rsidRDefault="006E3548" w:rsidP="006E3548">
      <w:pPr>
        <w:pStyle w:val="NormalWeb"/>
      </w:pPr>
      <w:r>
        <w:t xml:space="preserve">Once the message is durably stored, the next critical phase is </w:t>
      </w:r>
      <w:r>
        <w:rPr>
          <w:rStyle w:val="Strong"/>
        </w:rPr>
        <w:t>context assembly</w:t>
      </w:r>
      <w:r>
        <w:t xml:space="preserve">, which is where the live context window is rebuilt for the current model call. This is the heart of maintaining memory across the life of the application. The context engine should not simply “load the last N messages”; it should reconstruct context according to a strict priority order. Your revision section already describes the right sequence: current system/runtime instructions first, then recent transcript events from the canonical store, then the latest valid summary snapshot, then relevant durable memory rows, and finally optional retrieval from older transcript chunks if budget permits. That reconstruction algorithm is the concrete answer to the context-window problem. It means the application can preserve years of continuity without ever trying to stuff years of text into one prompt. The prompt becomes a budgeted projection of durable state. OpenClaw’s context engine model supports exactly this style of explicit orchestration, with ingest, assemble, compact, and after-turn phases, and it explicitly separates context assembly from memory search. In a Python version, the context engine should therefore own token budgeting as a first-class concern: reserve a portion for the current user turn and tool results, allocate a bounded slice to recent raw transcript, allocate a bounded slice to summary material, and treat durable memory retrieval as relevance-scored supplemental context rather than mandatory prompt ballast. Developers should also preserve the distinction between </w:t>
      </w:r>
      <w:r>
        <w:rPr>
          <w:rStyle w:val="Strong"/>
        </w:rPr>
        <w:t>assembly</w:t>
      </w:r>
      <w:r>
        <w:t xml:space="preserve"> and </w:t>
      </w:r>
      <w:r>
        <w:rPr>
          <w:rStyle w:val="Strong"/>
        </w:rPr>
        <w:t>pruning</w:t>
      </w:r>
      <w:r>
        <w:t xml:space="preserve">. OpenClaw prunes old tool results from the in-memory context before LLM calls without rewriting transcript history; that is a useful optimization because verbose tool payloads are often the fastest way to exhaust a context window, but they should never be confused with actual memory loss. The transcript remains whole even when the prompt is aggressively slimmed down for execution. </w:t>
      </w:r>
    </w:p>
    <w:p w14:paraId="3A1129F7" w14:textId="77777777" w:rsidR="006E3548" w:rsidRDefault="006E3548" w:rsidP="006E3548">
      <w:pPr>
        <w:pStyle w:val="NormalWeb"/>
      </w:pPr>
      <w:r>
        <w:t xml:space="preserve">As sessions grow, the system must transition from raw-history replay to </w:t>
      </w:r>
      <w:r>
        <w:rPr>
          <w:rStyle w:val="Strong"/>
        </w:rPr>
        <w:t>compaction-backed continuity</w:t>
      </w:r>
      <w:r>
        <w:t xml:space="preserve">. Compaction is not the same thing as pruning. Pruning is transient and request-local; compaction creates durable, reusable reductions of older history so later runs can preserve meaning while freeing prompt budget. OpenClaw documents auto-compaction when a session nears or exceeds the model’s context window, and it may retry the original request using the compacted context. It also supports manual compaction through </w:t>
      </w:r>
      <w:r>
        <w:rPr>
          <w:rStyle w:val="HTMLCode"/>
        </w:rPr>
        <w:t>/compact</w:t>
      </w:r>
      <w:r>
        <w:t xml:space="preserve">, and its context engine model makes compaction a formal lifecycle responsibility rather than a hidden helper. For your Python architecture, this suggests a versioned summary model rather than a single mutable “conversation summary” blob. When the transcript crosses a threshold, the context engine should derive a new summary snapshot that covers a known transcript range, persist it as a separate artifact, and mark which raw messages are now safely represented by that snapshot for future assembly purposes. Recent turns stay verbatim; older turns get represented by the newest valid summary that covers them. This is how the application keeps the live prompt bounded while maintaining semantic continuity over long time horizons. A good developer-oriented implementation pattern is to attach summary snapshots to transcript ranges, record the compaction trigger and version, and allow future repair jobs to regenerate them from transcript history if needed. That keeps compaction inspectable, reproducible, and replaceable. It also means improved summarization logic can be rolled out later without corrupting the source-of-truth conversation log. </w:t>
      </w:r>
    </w:p>
    <w:p w14:paraId="3F83CC3C" w14:textId="77777777" w:rsidR="006E3548" w:rsidRDefault="006E3548" w:rsidP="006E3548">
      <w:pPr>
        <w:pStyle w:val="NormalWeb"/>
      </w:pPr>
      <w:r>
        <w:t xml:space="preserve">Beyond transcript and compaction, the application needs </w:t>
      </w:r>
      <w:r>
        <w:rPr>
          <w:rStyle w:val="Strong"/>
        </w:rPr>
        <w:t>durable extracted memory</w:t>
      </w:r>
      <w:r>
        <w:t xml:space="preserve"> for facts that should survive beyond the natural shape of conversational turns. OpenClaw’s memory model is explicit about this: memory </w:t>
      </w:r>
      <w:proofErr w:type="gramStart"/>
      <w:r>
        <w:t>is persisted</w:t>
      </w:r>
      <w:proofErr w:type="gramEnd"/>
      <w:r>
        <w:t xml:space="preserve"> outside the prompt, and the default source of truth is not hidden vector state but durable files and plugin-managed retrieval. The exact storage medium in your Python version can differ — relational rows, Markdown files, or a hybrid of structured tables plus vector indexes — but the architectural principle should stay the same: extracted memory is secondary durable state derived from transcript events and available for later retrieval. Developers should think of this layer as containing stable user preferences, persistent project facts, open commitments, entity relationships, and other information that has value beyond the immediate turn sequence. This layer should never be written directly into the live prompt as an uncontrolled dump. Instead, retrieval should be selective, relevance-ranked, and bounded by the context budget allocated during assembly. The application should also preserve provenance: every durable memory record should reference the originating session and transcript range so that it can be audited, corrected, or rebuilt. Your revision notes are correct to require outbox-driven, idempotent post-turn extraction and retrievability checks before marking a job successful. That is the operational discipline that prevents “memory drift,” where extracted facts silently diverge from the actual conversation history. A strong developer implementation will also distinguish stable facts from ephemeral notes and will expire or down-rank low-confidence memory over time unless reaffirmed by later turns. </w:t>
      </w:r>
    </w:p>
    <w:p w14:paraId="3E3EFC07" w14:textId="77777777" w:rsidR="006E3548" w:rsidRDefault="006E3548" w:rsidP="006E3548">
      <w:pPr>
        <w:pStyle w:val="NormalWeb"/>
      </w:pPr>
      <w:r>
        <w:t xml:space="preserve">Memory maintenance also </w:t>
      </w:r>
      <w:proofErr w:type="gramStart"/>
      <w:r>
        <w:t>has to</w:t>
      </w:r>
      <w:proofErr w:type="gramEnd"/>
      <w:r>
        <w:t xml:space="preserve"> survive </w:t>
      </w:r>
      <w:r>
        <w:rPr>
          <w:rStyle w:val="Strong"/>
        </w:rPr>
        <w:t>multi-session and long-lived application behavior</w:t>
      </w:r>
      <w:r>
        <w:t xml:space="preserve">, not just one chat thread. OpenClaw’s session model is useful here because it treats sessions as first-class persistent objects and allows direct-message continuity to collapse into a long-lived </w:t>
      </w:r>
      <w:r>
        <w:rPr>
          <w:rStyle w:val="HTMLCode"/>
        </w:rPr>
        <w:t>main</w:t>
      </w:r>
      <w:r>
        <w:t xml:space="preserve"> session when policy says that is appropriate. That matters because continuity is partly a routing concern: before you can reconstruct memory, you must know which durable history belongs to the current turn. In a Python alternative, the router and session layer therefore become part of the memory architecture. The gateway must resolve a stable session key for the incoming message, decide whether the turn belongs to an ongoing long-lived conversation or an isolated task session, and only then perform context assembly against the correct transcript and memory scope. This becomes even more important for schedulers, background jobs, and agent-to-agent messaging. Scheduled automations should re-enter the same gateway/session lifecycle rather than bypassing it, so any automated turn can read and update memory through the same ingest → assemble → compact → after-turn pipeline as a human-originated turn. The same applies to specialist subgraphs or spawned sessions: they may use smaller local contexts, but any continuity that must survive outside their bounded run should still be externalized to transcript or durable memory. OpenClaw’s session tools and session-management references reinforce this idea by keeping session history and routing explicit rather than hiding them behind the chat UI. For developers, that means memory consistency depends just as much on correct session boundaries and replayable event flow as it does on clever retrieval algorithms. </w:t>
      </w:r>
    </w:p>
    <w:p w14:paraId="11577768" w14:textId="77777777" w:rsidR="006E3548" w:rsidRDefault="006E3548" w:rsidP="006E3548">
      <w:pPr>
        <w:pStyle w:val="NormalWeb"/>
      </w:pPr>
      <w:r>
        <w:t xml:space="preserve">The last requirement is </w:t>
      </w:r>
      <w:r>
        <w:rPr>
          <w:rStyle w:val="Strong"/>
        </w:rPr>
        <w:t>failure tolerance and repairability</w:t>
      </w:r>
      <w:r>
        <w:t>, because a memory architecture is only real if it can be reconstructed after something breaks. Your document’s later revisions correctly push this from “nice to have” into required behavior: recovery jobs should be able to regenerate missing summaries, rebuild memory rows for a session, verify retrieval health, re-run failed outbox jobs safely, and reconstruct continuity from durable transcript data only. That is exactly the correct philosophy. A context-window strategy that depends on every enrichment pipeline always succeeding is brittle by design. A production-grade system should assume that compaction jobs fail, embedding stores become unavailable, workers crash after dequeuing a job, and concurrent messages arrive during summary generation. The canonical transcript and session metadata must be sufficient to rebuild all other memory layers. In practice, that means developers should test transcript-only recovery, duplicate outbox delivery, crash-after-commit scenarios, concurrent inbound events to one session, and retrieval outages where the model call must still proceed using recent transcript and the latest good summary. This is also where checkpointing and LangGraph persistence help: the orchestration state for a turn can survive retries, but the continuity guarantee still comes from the application’s durable stores rather than from graph state alone. When all of this is in place, the “context window” stops being a product limitation that threatens continuity and becomes what it should be: a bounded execution surface fed by a larger, explicit, reconstructable memory system. That is the developer mental model to preserve throughout the life of the application.</w:t>
      </w:r>
    </w:p>
    <w:p w14:paraId="43924B40" w14:textId="77777777" w:rsidR="00767294" w:rsidRPr="006E3548" w:rsidRDefault="00767294" w:rsidP="006E3548"/>
    <w:sectPr w:rsidR="00767294" w:rsidRPr="006E35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8C9"/>
    <w:rsid w:val="001A18C9"/>
    <w:rsid w:val="006E3548"/>
    <w:rsid w:val="00767294"/>
    <w:rsid w:val="00975738"/>
    <w:rsid w:val="00995DED"/>
    <w:rsid w:val="00EC0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68B6B0"/>
  <w15:chartTrackingRefBased/>
  <w15:docId w15:val="{15A9765F-5422-CB47-B57D-770877533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8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8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8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8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8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8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8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8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8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8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8C9"/>
    <w:rPr>
      <w:rFonts w:eastAsiaTheme="majorEastAsia" w:cstheme="majorBidi"/>
      <w:color w:val="272727" w:themeColor="text1" w:themeTint="D8"/>
    </w:rPr>
  </w:style>
  <w:style w:type="paragraph" w:styleId="Title">
    <w:name w:val="Title"/>
    <w:basedOn w:val="Normal"/>
    <w:next w:val="Normal"/>
    <w:link w:val="TitleChar"/>
    <w:uiPriority w:val="10"/>
    <w:qFormat/>
    <w:rsid w:val="001A1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8C9"/>
    <w:pPr>
      <w:spacing w:before="160"/>
      <w:jc w:val="center"/>
    </w:pPr>
    <w:rPr>
      <w:i/>
      <w:iCs/>
      <w:color w:val="404040" w:themeColor="text1" w:themeTint="BF"/>
    </w:rPr>
  </w:style>
  <w:style w:type="character" w:customStyle="1" w:styleId="QuoteChar">
    <w:name w:val="Quote Char"/>
    <w:basedOn w:val="DefaultParagraphFont"/>
    <w:link w:val="Quote"/>
    <w:uiPriority w:val="29"/>
    <w:rsid w:val="001A18C9"/>
    <w:rPr>
      <w:i/>
      <w:iCs/>
      <w:color w:val="404040" w:themeColor="text1" w:themeTint="BF"/>
    </w:rPr>
  </w:style>
  <w:style w:type="paragraph" w:styleId="ListParagraph">
    <w:name w:val="List Paragraph"/>
    <w:basedOn w:val="Normal"/>
    <w:uiPriority w:val="34"/>
    <w:qFormat/>
    <w:rsid w:val="001A18C9"/>
    <w:pPr>
      <w:ind w:left="720"/>
      <w:contextualSpacing/>
    </w:pPr>
  </w:style>
  <w:style w:type="character" w:styleId="IntenseEmphasis">
    <w:name w:val="Intense Emphasis"/>
    <w:basedOn w:val="DefaultParagraphFont"/>
    <w:uiPriority w:val="21"/>
    <w:qFormat/>
    <w:rsid w:val="001A18C9"/>
    <w:rPr>
      <w:i/>
      <w:iCs/>
      <w:color w:val="0F4761" w:themeColor="accent1" w:themeShade="BF"/>
    </w:rPr>
  </w:style>
  <w:style w:type="paragraph" w:styleId="IntenseQuote">
    <w:name w:val="Intense Quote"/>
    <w:basedOn w:val="Normal"/>
    <w:next w:val="Normal"/>
    <w:link w:val="IntenseQuoteChar"/>
    <w:uiPriority w:val="30"/>
    <w:qFormat/>
    <w:rsid w:val="001A18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8C9"/>
    <w:rPr>
      <w:i/>
      <w:iCs/>
      <w:color w:val="0F4761" w:themeColor="accent1" w:themeShade="BF"/>
    </w:rPr>
  </w:style>
  <w:style w:type="character" w:styleId="IntenseReference">
    <w:name w:val="Intense Reference"/>
    <w:basedOn w:val="DefaultParagraphFont"/>
    <w:uiPriority w:val="32"/>
    <w:qFormat/>
    <w:rsid w:val="001A18C9"/>
    <w:rPr>
      <w:b/>
      <w:bCs/>
      <w:smallCaps/>
      <w:color w:val="0F4761" w:themeColor="accent1" w:themeShade="BF"/>
      <w:spacing w:val="5"/>
    </w:rPr>
  </w:style>
  <w:style w:type="paragraph" w:styleId="NormalWeb">
    <w:name w:val="Normal (Web)"/>
    <w:basedOn w:val="Normal"/>
    <w:uiPriority w:val="99"/>
    <w:semiHidden/>
    <w:unhideWhenUsed/>
    <w:rsid w:val="001A18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A18C9"/>
    <w:rPr>
      <w:b/>
      <w:bCs/>
    </w:rPr>
  </w:style>
  <w:style w:type="character" w:styleId="HTMLCode">
    <w:name w:val="HTML Code"/>
    <w:basedOn w:val="DefaultParagraphFont"/>
    <w:uiPriority w:val="99"/>
    <w:semiHidden/>
    <w:unhideWhenUsed/>
    <w:rsid w:val="001A18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1652</Words>
  <Characters>10312</Characters>
  <Application>Microsoft Office Word</Application>
  <DocSecurity>0</DocSecurity>
  <Lines>133</Lines>
  <Paragraphs>13</Paragraphs>
  <ScaleCrop>false</ScaleCrop>
  <Company/>
  <LinksUpToDate>false</LinksUpToDate>
  <CharactersWithSpaces>11951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Cornell</dc:creator>
  <cp:keywords/>
  <dc:description/>
  <cp:lastModifiedBy>Scott Cornell</cp:lastModifiedBy>
  <cp:revision>2</cp:revision>
  <dcterms:created xsi:type="dcterms:W3CDTF">2026-03-21T21:17:00Z</dcterms:created>
  <dcterms:modified xsi:type="dcterms:W3CDTF">2026-03-21T21:17:00Z</dcterms:modified>
</cp:coreProperties>
</file>