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24B7" w14:textId="77777777" w:rsidR="00BC2A94" w:rsidRPr="00BC2A94" w:rsidRDefault="00BC2A94" w:rsidP="00BC2A94">
      <w:r w:rsidRPr="00BC2A94">
        <w:br/>
      </w:r>
    </w:p>
    <w:p w14:paraId="69D959CB" w14:textId="77777777" w:rsidR="00BC2A94" w:rsidRPr="00BC2A94" w:rsidRDefault="00BC2A94" w:rsidP="00BC2A94">
      <w:r w:rsidRPr="00BC2A94">
        <w:t>None selected</w:t>
      </w:r>
    </w:p>
    <w:p w14:paraId="5256AE5E" w14:textId="77777777" w:rsidR="00BC2A94" w:rsidRPr="00BC2A94" w:rsidRDefault="00BC2A94" w:rsidP="00BC2A94">
      <w:r w:rsidRPr="00BC2A94">
        <w:br/>
      </w:r>
      <w:hyperlink r:id="rId4" w:tgtFrame="_top" w:history="1">
        <w:r w:rsidRPr="00BC2A94">
          <w:rPr>
            <w:rStyle w:val="Hyperlink"/>
          </w:rPr>
          <w:t>Skip to content</w:t>
        </w:r>
      </w:hyperlink>
      <w:r w:rsidRPr="00BC2A94">
        <w:br/>
      </w:r>
      <w:hyperlink r:id="rId5" w:tgtFrame="_top" w:history="1">
        <w:r w:rsidRPr="00BC2A94">
          <w:rPr>
            <w:rStyle w:val="Hyperlink"/>
          </w:rPr>
          <w:t>Using Weebly Email Service Mail with screen readers</w:t>
        </w:r>
      </w:hyperlink>
    </w:p>
    <w:p w14:paraId="626C1C05" w14:textId="77777777" w:rsidR="00BC2A94" w:rsidRPr="00BC2A94" w:rsidRDefault="00BC2A94" w:rsidP="00BC2A94">
      <w:pPr>
        <w:rPr>
          <w:vanish/>
        </w:rPr>
      </w:pPr>
      <w:r w:rsidRPr="00BC2A94">
        <w:rPr>
          <w:vanish/>
        </w:rPr>
        <w:t>Top of Form</w:t>
      </w:r>
    </w:p>
    <w:tbl>
      <w:tblPr>
        <w:tblW w:w="7737" w:type="dxa"/>
        <w:tblCellSpacing w:w="0" w:type="dxa"/>
        <w:tblInd w:w="10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37"/>
      </w:tblGrid>
      <w:tr w:rsidR="00BC2A94" w:rsidRPr="00BC2A94" w14:paraId="0278394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7737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737"/>
            </w:tblGrid>
            <w:tr w:rsidR="00BC2A94" w:rsidRPr="00BC2A94" w14:paraId="72F8260F" w14:textId="77777777">
              <w:trPr>
                <w:tblCellSpacing w:w="0" w:type="dxa"/>
              </w:trPr>
              <w:tc>
                <w:tcPr>
                  <w:tcW w:w="773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65" w:type="dxa"/>
                    <w:left w:w="0" w:type="dxa"/>
                    <w:bottom w:w="165" w:type="dxa"/>
                    <w:right w:w="0" w:type="dxa"/>
                  </w:tcMar>
                  <w:vAlign w:val="center"/>
                  <w:hideMark/>
                </w:tcPr>
                <w:p w14:paraId="687BDDC8" w14:textId="77777777" w:rsidR="00BC2A94" w:rsidRPr="00BC2A94" w:rsidRDefault="00BC2A94" w:rsidP="00BC2A94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34D8F693" w14:textId="77777777" w:rsidR="00BC2A94" w:rsidRPr="00BC2A94" w:rsidRDefault="00BC2A94" w:rsidP="00BC2A94"/>
        </w:tc>
      </w:tr>
    </w:tbl>
    <w:p w14:paraId="5939098A" w14:textId="77777777" w:rsidR="00BC2A94" w:rsidRPr="00BC2A94" w:rsidRDefault="00BC2A94" w:rsidP="00BC2A94">
      <w:pPr>
        <w:rPr>
          <w:vanish/>
        </w:rPr>
      </w:pPr>
      <w:r w:rsidRPr="00BC2A94">
        <w:rPr>
          <w:vanish/>
        </w:rPr>
        <w:t>Bottom of Form</w:t>
      </w:r>
    </w:p>
    <w:p w14:paraId="7C2FE34D" w14:textId="77777777" w:rsidR="00BC2A94" w:rsidRPr="00BC2A94" w:rsidRDefault="00BC2A94" w:rsidP="00BC2A94">
      <w:r w:rsidRPr="00BC2A94">
        <w:t>5 of 50,357</w:t>
      </w:r>
    </w:p>
    <w:p w14:paraId="542FEE98" w14:textId="77777777" w:rsidR="00BC2A94" w:rsidRPr="00BC2A94" w:rsidRDefault="00BC2A94" w:rsidP="00BC2A94">
      <w:proofErr w:type="spellStart"/>
      <w:r w:rsidRPr="00BC2A94">
        <w:t>Ompetitors</w:t>
      </w:r>
      <w:proofErr w:type="spellEnd"/>
    </w:p>
    <w:p w14:paraId="4DE10D2B" w14:textId="77777777" w:rsidR="00BC2A94" w:rsidRPr="00BC2A94" w:rsidRDefault="00BC2A94" w:rsidP="00BC2A94">
      <w:r w:rsidRPr="00BC2A94">
        <w:t>Inbox</w:t>
      </w:r>
    </w:p>
    <w:p w14:paraId="4DC2FD31" w14:textId="02B7E93E" w:rsidR="00BC2A94" w:rsidRPr="00BC2A94" w:rsidRDefault="00BC2A94" w:rsidP="00BC2A94">
      <w:r w:rsidRPr="00BC2A94">
        <w:drawing>
          <wp:inline distT="0" distB="0" distL="0" distR="0" wp14:anchorId="26D4C0FA" wp14:editId="3A379E12">
            <wp:extent cx="381000" cy="381000"/>
            <wp:effectExtent l="0" t="0" r="0" b="0"/>
            <wp:docPr id="9091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WBGd-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6"/>
        <w:gridCol w:w="1430"/>
        <w:gridCol w:w="4"/>
      </w:tblGrid>
      <w:tr w:rsidR="00BC2A94" w:rsidRPr="00BC2A94" w14:paraId="195F6F8C" w14:textId="77777777">
        <w:tc>
          <w:tcPr>
            <w:tcW w:w="12250" w:type="dxa"/>
            <w:noWrap/>
            <w:hideMark/>
          </w:tcPr>
          <w:tbl>
            <w:tblPr>
              <w:tblW w:w="1225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250"/>
            </w:tblGrid>
            <w:tr w:rsidR="00BC2A94" w:rsidRPr="00BC2A94" w14:paraId="379A0C21" w14:textId="77777777">
              <w:tc>
                <w:tcPr>
                  <w:tcW w:w="0" w:type="auto"/>
                  <w:vAlign w:val="center"/>
                  <w:hideMark/>
                </w:tcPr>
                <w:p w14:paraId="4C782115" w14:textId="77777777" w:rsidR="00BC2A94" w:rsidRPr="00BC2A94" w:rsidRDefault="00BC2A94" w:rsidP="00BC2A94">
                  <w:pPr>
                    <w:rPr>
                      <w:b/>
                      <w:bCs/>
                    </w:rPr>
                  </w:pPr>
                  <w:r w:rsidRPr="00BC2A94">
                    <w:rPr>
                      <w:b/>
                      <w:bCs/>
                    </w:rPr>
                    <w:t>Scott Lunsford &lt;scott@outkastdesigns.com&gt;</w:t>
                  </w:r>
                </w:p>
              </w:tc>
            </w:tr>
          </w:tbl>
          <w:p w14:paraId="2BD01E3D" w14:textId="77777777" w:rsidR="00BC2A94" w:rsidRPr="00BC2A94" w:rsidRDefault="00BC2A94" w:rsidP="00BC2A94"/>
        </w:tc>
        <w:tc>
          <w:tcPr>
            <w:tcW w:w="0" w:type="auto"/>
            <w:noWrap/>
            <w:hideMark/>
          </w:tcPr>
          <w:p w14:paraId="6A24D23D" w14:textId="77777777" w:rsidR="00BC2A94" w:rsidRPr="00BC2A94" w:rsidRDefault="00BC2A94" w:rsidP="00BC2A94">
            <w:r w:rsidRPr="00BC2A94">
              <w:t>1:01</w:t>
            </w:r>
            <w:r w:rsidRPr="00BC2A94">
              <w:rPr>
                <w:rFonts w:ascii="Arial" w:hAnsi="Arial" w:cs="Arial"/>
              </w:rPr>
              <w:t> </w:t>
            </w:r>
            <w:r w:rsidRPr="00BC2A94">
              <w:t>PM (7 hours ago)</w:t>
            </w:r>
          </w:p>
        </w:tc>
        <w:tc>
          <w:tcPr>
            <w:tcW w:w="0" w:type="auto"/>
            <w:noWrap/>
            <w:hideMark/>
          </w:tcPr>
          <w:p w14:paraId="21A26453" w14:textId="77777777" w:rsidR="00BC2A94" w:rsidRPr="00BC2A94" w:rsidRDefault="00BC2A94" w:rsidP="00BC2A94"/>
        </w:tc>
        <w:tc>
          <w:tcPr>
            <w:tcW w:w="0" w:type="auto"/>
            <w:gridSpan w:val="0"/>
            <w:vMerge w:val="restart"/>
            <w:noWrap/>
            <w:hideMark/>
          </w:tcPr>
          <w:p w14:paraId="6DEF88C9" w14:textId="77777777" w:rsidR="00BC2A94" w:rsidRPr="00BC2A94" w:rsidRDefault="00BC2A94" w:rsidP="00BC2A94"/>
        </w:tc>
      </w:tr>
      <w:tr w:rsidR="00BC2A94" w:rsidRPr="00BC2A94" w14:paraId="5209FF22" w14:textId="77777777">
        <w:tc>
          <w:tcPr>
            <w:tcW w:w="0" w:type="auto"/>
            <w:gridSpan w:val="3"/>
            <w:vAlign w:val="center"/>
            <w:hideMark/>
          </w:tcPr>
          <w:tbl>
            <w:tblPr>
              <w:tblW w:w="1638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380"/>
            </w:tblGrid>
            <w:tr w:rsidR="00BC2A94" w:rsidRPr="00BC2A94" w14:paraId="72BDD1AD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7D471051" w14:textId="77777777" w:rsidR="00BC2A94" w:rsidRPr="00BC2A94" w:rsidRDefault="00BC2A94" w:rsidP="00BC2A94">
                  <w:r w:rsidRPr="00BC2A94">
                    <w:t>to me</w:t>
                  </w:r>
                </w:p>
                <w:p w14:paraId="2A49F80D" w14:textId="615C28AC" w:rsidR="00BC2A94" w:rsidRPr="00BC2A94" w:rsidRDefault="00BC2A94" w:rsidP="00BC2A94">
                  <w:r w:rsidRPr="00BC2A94">
                    <w:drawing>
                      <wp:inline distT="0" distB="0" distL="0" distR="0" wp14:anchorId="4AFC0798" wp14:editId="528F5FD4">
                        <wp:extent cx="7620" cy="7620"/>
                        <wp:effectExtent l="0" t="0" r="0" b="0"/>
                        <wp:docPr id="14600726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721DA92" w14:textId="77777777" w:rsidR="00BC2A94" w:rsidRPr="00BC2A94" w:rsidRDefault="00BC2A94" w:rsidP="00BC2A94"/>
        </w:tc>
        <w:tc>
          <w:tcPr>
            <w:tcW w:w="0" w:type="auto"/>
            <w:gridSpan w:val="0"/>
            <w:vMerge/>
            <w:vAlign w:val="center"/>
            <w:hideMark/>
          </w:tcPr>
          <w:p w14:paraId="68CB15A3" w14:textId="77777777" w:rsidR="00BC2A94" w:rsidRPr="00BC2A94" w:rsidRDefault="00BC2A94" w:rsidP="00BC2A94"/>
        </w:tc>
      </w:tr>
    </w:tbl>
    <w:p w14:paraId="648D8AEC" w14:textId="77777777" w:rsidR="00BC2A94" w:rsidRPr="00BC2A94" w:rsidRDefault="00BC2A94" w:rsidP="00BC2A94">
      <w:r w:rsidRPr="00BC2A94">
        <w:t xml:space="preserve">You are right: if </w:t>
      </w:r>
      <w:proofErr w:type="spellStart"/>
      <w:r w:rsidRPr="00BC2A94">
        <w:t>TopoScout’s</w:t>
      </w:r>
      <w:proofErr w:type="spellEnd"/>
      <w:r w:rsidRPr="00BC2A94">
        <w:t xml:space="preserve"> </w:t>
      </w:r>
      <w:proofErr w:type="spellStart"/>
      <w:r w:rsidRPr="00BC2A94">
        <w:t>DXF</w:t>
      </w:r>
      <w:proofErr w:type="spellEnd"/>
      <w:r w:rsidRPr="00BC2A94">
        <w:t xml:space="preserve"> includes roads, building footprints, water features, contours/terrain, and other mapped base layers, then it overlaps materially with </w:t>
      </w:r>
      <w:proofErr w:type="spellStart"/>
      <w:r w:rsidRPr="00BC2A94">
        <w:t>Cadmapper</w:t>
      </w:r>
      <w:proofErr w:type="spellEnd"/>
      <w:r w:rsidRPr="00BC2A94">
        <w:t xml:space="preserve"> at the **base-map export** level.</w:t>
      </w:r>
      <w:r w:rsidRPr="00BC2A94">
        <w:br/>
      </w:r>
      <w:r w:rsidRPr="00BC2A94">
        <w:br/>
        <w:t>The difference is not that you have different raw map categories. The difference is the **project workflow, geography, coordinate setup, deliverable bundle, and buyer use case**.</w:t>
      </w:r>
      <w:r w:rsidRPr="00BC2A94">
        <w:br/>
      </w:r>
      <w:r w:rsidRPr="00BC2A94">
        <w:br/>
        <w:t>## More accurate comparison</w:t>
      </w:r>
      <w:r w:rsidRPr="00BC2A94">
        <w:br/>
      </w:r>
      <w:r w:rsidRPr="00BC2A94">
        <w:br/>
        <w:t xml:space="preserve">| Capability | </w:t>
      </w:r>
      <w:proofErr w:type="spellStart"/>
      <w:r w:rsidRPr="00BC2A94">
        <w:t>Cadmapper</w:t>
      </w:r>
      <w:proofErr w:type="spellEnd"/>
      <w:r w:rsidRPr="00BC2A94">
        <w:t xml:space="preserve"> | </w:t>
      </w:r>
      <w:proofErr w:type="spellStart"/>
      <w:r w:rsidRPr="00BC2A94">
        <w:t>TopoScout</w:t>
      </w:r>
      <w:proofErr w:type="spellEnd"/>
      <w:r w:rsidRPr="00BC2A94">
        <w:t xml:space="preserve"> |</w:t>
      </w:r>
      <w:r w:rsidRPr="00BC2A94">
        <w:br/>
        <w:t>|---|---|---|</w:t>
      </w:r>
      <w:r w:rsidRPr="00BC2A94">
        <w:br/>
        <w:t>| Roads | Yes | Yes |</w:t>
      </w:r>
      <w:r w:rsidRPr="00BC2A94">
        <w:br/>
        <w:t>| Building footprints | Yes | Yes |</w:t>
      </w:r>
      <w:r w:rsidRPr="00BC2A94">
        <w:br/>
        <w:t>| Water features | Yes | Yes |</w:t>
      </w:r>
      <w:r w:rsidRPr="00BC2A94">
        <w:br/>
        <w:t>| Terrain/contours where data exists | Yes | Yes |</w:t>
      </w:r>
      <w:r w:rsidRPr="00BC2A94">
        <w:br/>
        <w:t xml:space="preserve">| </w:t>
      </w:r>
      <w:proofErr w:type="spellStart"/>
      <w:r w:rsidRPr="00BC2A94">
        <w:t>DXF</w:t>
      </w:r>
      <w:proofErr w:type="spellEnd"/>
      <w:r w:rsidRPr="00BC2A94">
        <w:t>-oriented export | Yes | Yes |</w:t>
      </w:r>
      <w:r w:rsidRPr="00BC2A94">
        <w:br/>
        <w:t>| Map-area selection | Yes | Address/coordinate-led site workflow |</w:t>
      </w:r>
      <w:r w:rsidRPr="00BC2A94">
        <w:br/>
      </w:r>
      <w:r w:rsidRPr="00BC2A94">
        <w:lastRenderedPageBreak/>
        <w:t>| Free entry option | Yes, within its applicable limits | No; paid per site |</w:t>
      </w:r>
      <w:r w:rsidRPr="00BC2A94">
        <w:br/>
        <w:t>| Project-site report | Not the central product | Yes |</w:t>
      </w:r>
      <w:r w:rsidRPr="00BC2A94">
        <w:br/>
        <w:t>| Parcel-centered context | Limited/not central | Yes, if consistently supplied |</w:t>
      </w:r>
      <w:r w:rsidRPr="00BC2A94">
        <w:br/>
        <w:t>| State Plane coordinate setup | Not central | Yes, if consistently encoded and documented |</w:t>
      </w:r>
      <w:r w:rsidRPr="00BC2A94">
        <w:br/>
        <w:t>| Field-oriented deliverables | Not central | Yes |</w:t>
      </w:r>
      <w:r w:rsidRPr="00BC2A94">
        <w:br/>
        <w:t>| Single bundled site package | Not central | Yes |</w:t>
      </w:r>
      <w:r w:rsidRPr="00BC2A94">
        <w:br/>
        <w:t>| Rural/suburban project positioning | Not central | Core target opportunity |</w:t>
      </w:r>
      <w:r w:rsidRPr="00BC2A94">
        <w:br/>
        <w:t>| Self-serve preliminary planning package | Partial overlap | Core product |</w:t>
      </w:r>
      <w:r w:rsidRPr="00BC2A94">
        <w:br/>
      </w:r>
      <w:r w:rsidRPr="00BC2A94">
        <w:br/>
        <w:t>## The direct implication</w:t>
      </w:r>
      <w:r w:rsidRPr="00BC2A94">
        <w:br/>
      </w:r>
      <w:r w:rsidRPr="00BC2A94">
        <w:br/>
        <w:t xml:space="preserve">Your </w:t>
      </w:r>
      <w:proofErr w:type="spellStart"/>
      <w:r w:rsidRPr="00BC2A94">
        <w:t>DXF</w:t>
      </w:r>
      <w:proofErr w:type="spellEnd"/>
      <w:r w:rsidRPr="00BC2A94">
        <w:t xml:space="preserve"> cannot be positioned merely as:</w:t>
      </w:r>
      <w:r w:rsidRPr="00BC2A94">
        <w:br/>
      </w:r>
      <w:r w:rsidRPr="00BC2A94">
        <w:br/>
        <w:t xml:space="preserve">&gt; “Roads, buildings, water, and terrain exported to </w:t>
      </w:r>
      <w:proofErr w:type="spellStart"/>
      <w:r w:rsidRPr="00BC2A94">
        <w:t>DXF</w:t>
      </w:r>
      <w:proofErr w:type="spellEnd"/>
      <w:r w:rsidRPr="00BC2A94">
        <w:t>.”</w:t>
      </w:r>
      <w:r w:rsidRPr="00BC2A94">
        <w:br/>
      </w:r>
      <w:r w:rsidRPr="00BC2A94">
        <w:br/>
      </w:r>
      <w:proofErr w:type="spellStart"/>
      <w:r w:rsidRPr="00BC2A94">
        <w:t>Cadmapper</w:t>
      </w:r>
      <w:proofErr w:type="spellEnd"/>
      <w:r w:rsidRPr="00BC2A94">
        <w:t xml:space="preserve"> already gives users a familiar version of that promise, sometimes free. If that is the whole perceived offer, prospects will compare you on price and choose the free download.</w:t>
      </w:r>
      <w:r w:rsidRPr="00BC2A94">
        <w:br/>
      </w:r>
      <w:r w:rsidRPr="00BC2A94">
        <w:br/>
        <w:t>Instead, sell the outcome:</w:t>
      </w:r>
      <w:r w:rsidRPr="00BC2A94">
        <w:br/>
      </w:r>
      <w:r w:rsidRPr="00BC2A94">
        <w:br/>
        <w:t xml:space="preserve">&gt; **A project-ready preliminary base package for one U.S. site: mapped context, parcel and terrain orientation, field material, and an organized State Plane </w:t>
      </w:r>
      <w:proofErr w:type="spellStart"/>
      <w:r w:rsidRPr="00BC2A94">
        <w:t>DXF</w:t>
      </w:r>
      <w:proofErr w:type="spellEnd"/>
      <w:r w:rsidRPr="00BC2A94">
        <w:t>—delivered as one consistent package.**</w:t>
      </w:r>
      <w:r w:rsidRPr="00BC2A94">
        <w:br/>
      </w:r>
      <w:r w:rsidRPr="00BC2A94">
        <w:br/>
        <w:t>Use “preliminary” rather than “project-ready” if you want to make the scope and liability boundary unmistakable:</w:t>
      </w:r>
      <w:r w:rsidRPr="00BC2A94">
        <w:br/>
      </w:r>
      <w:r w:rsidRPr="00BC2A94">
        <w:br/>
        <w:t xml:space="preserve">&gt; **A preliminary planning package for one U.S. site, with organized base mapping, terrain context, and a State Plane </w:t>
      </w:r>
      <w:proofErr w:type="spellStart"/>
      <w:r w:rsidRPr="00BC2A94">
        <w:t>DXF</w:t>
      </w:r>
      <w:proofErr w:type="spellEnd"/>
      <w:r w:rsidRPr="00BC2A94">
        <w:t xml:space="preserve"> for early CAD setup.**</w:t>
      </w:r>
      <w:r w:rsidRPr="00BC2A94">
        <w:br/>
      </w:r>
      <w:r w:rsidRPr="00BC2A94">
        <w:br/>
        <w:t>## Where you must create a visible advantage</w:t>
      </w:r>
      <w:r w:rsidRPr="00BC2A94">
        <w:br/>
      </w:r>
      <w:r w:rsidRPr="00BC2A94">
        <w:br/>
        <w:t xml:space="preserve">The buyer needs to see something </w:t>
      </w:r>
      <w:proofErr w:type="spellStart"/>
      <w:r w:rsidRPr="00BC2A94">
        <w:t>Cadmapper</w:t>
      </w:r>
      <w:proofErr w:type="spellEnd"/>
      <w:r w:rsidRPr="00BC2A94">
        <w:t xml:space="preserve"> does not obviously provide. Make those differences concrete on the </w:t>
      </w:r>
      <w:proofErr w:type="spellStart"/>
      <w:r w:rsidRPr="00BC2A94">
        <w:t>DXF</w:t>
      </w:r>
      <w:proofErr w:type="spellEnd"/>
      <w:r w:rsidRPr="00BC2A94">
        <w:t xml:space="preserve"> product page.</w:t>
      </w:r>
      <w:r w:rsidRPr="00BC2A94">
        <w:br/>
      </w:r>
      <w:r w:rsidRPr="00BC2A94">
        <w:br/>
        <w:t xml:space="preserve">| Make visible | Why it makes </w:t>
      </w:r>
      <w:proofErr w:type="spellStart"/>
      <w:r w:rsidRPr="00BC2A94">
        <w:t>TopoScout</w:t>
      </w:r>
      <w:proofErr w:type="spellEnd"/>
      <w:r w:rsidRPr="00BC2A94">
        <w:t xml:space="preserve"> more valuable |</w:t>
      </w:r>
      <w:r w:rsidRPr="00BC2A94">
        <w:br/>
      </w:r>
      <w:r w:rsidRPr="00BC2A94">
        <w:lastRenderedPageBreak/>
        <w:t>|---|---|</w:t>
      </w:r>
      <w:r w:rsidRPr="00BC2A94">
        <w:br/>
        <w:t xml:space="preserve">| Layer list with screenshots | Shows the </w:t>
      </w:r>
      <w:proofErr w:type="spellStart"/>
      <w:r w:rsidRPr="00BC2A94">
        <w:t>DXF</w:t>
      </w:r>
      <w:proofErr w:type="spellEnd"/>
      <w:r w:rsidRPr="00BC2A94">
        <w:t xml:space="preserve"> is deliberately structured, not a generic export |</w:t>
      </w:r>
      <w:r w:rsidRPr="00BC2A94">
        <w:br/>
        <w:t>| Coordinate-system declaration | Lets CAD users know exactly how to insert and align the drawing |</w:t>
      </w:r>
      <w:r w:rsidRPr="00BC2A94">
        <w:br/>
        <w:t>| Parcel boundary and parcel information | Connects mapping to a real development site |</w:t>
      </w:r>
      <w:r w:rsidRPr="00BC2A94">
        <w:br/>
        <w:t>| Contours labeled with elevations | Saves setup time for early grading/feasibility discussions |</w:t>
      </w:r>
      <w:r w:rsidRPr="00BC2A94">
        <w:br/>
        <w:t>| Site-radius or site-boundary context | Frames the data around the actual project, not an arbitrary selected rectangle |</w:t>
      </w:r>
      <w:r w:rsidRPr="00BC2A94">
        <w:br/>
        <w:t>| PDF companion brief | Lets a PM or client understand the site without opening CAD |</w:t>
      </w:r>
      <w:r w:rsidRPr="00BC2A94">
        <w:br/>
        <w:t>| Field map/</w:t>
      </w:r>
      <w:proofErr w:type="spellStart"/>
      <w:r w:rsidRPr="00BC2A94">
        <w:t>KMZ</w:t>
      </w:r>
      <w:proofErr w:type="spellEnd"/>
      <w:r w:rsidRPr="00BC2A94">
        <w:t>/aerial materials | Supports location verification and site walks |</w:t>
      </w:r>
      <w:r w:rsidRPr="00BC2A94">
        <w:br/>
        <w:t>| Data source/date statement | Builds professional trust and makes scope explicit |</w:t>
      </w:r>
      <w:r w:rsidRPr="00BC2A94">
        <w:br/>
        <w:t>| Missing-data flags | Is more credible than silently omitting unavailable layers |</w:t>
      </w:r>
      <w:r w:rsidRPr="00BC2A94">
        <w:br/>
        <w:t>| Annotations and title block | Makes the preliminary nature and geographic reference clear immediately |</w:t>
      </w:r>
      <w:r w:rsidRPr="00BC2A94">
        <w:br/>
      </w:r>
      <w:r w:rsidRPr="00BC2A94">
        <w:br/>
        <w:t>## A blunt test</w:t>
      </w:r>
      <w:r w:rsidRPr="00BC2A94">
        <w:br/>
      </w:r>
      <w:r w:rsidRPr="00BC2A94">
        <w:br/>
        <w:t>Ask a civil designer or architect to compare two files for the same address:</w:t>
      </w:r>
      <w:r w:rsidRPr="00BC2A94">
        <w:br/>
      </w:r>
      <w:r w:rsidRPr="00BC2A94">
        <w:br/>
        <w:t xml:space="preserve">1. A </w:t>
      </w:r>
      <w:proofErr w:type="spellStart"/>
      <w:r w:rsidRPr="00BC2A94">
        <w:t>Cadmapper</w:t>
      </w:r>
      <w:proofErr w:type="spellEnd"/>
      <w:r w:rsidRPr="00BC2A94">
        <w:t xml:space="preserve"> export.</w:t>
      </w:r>
      <w:r w:rsidRPr="00BC2A94">
        <w:br/>
        <w:t xml:space="preserve">2. A </w:t>
      </w:r>
      <w:proofErr w:type="spellStart"/>
      <w:r w:rsidRPr="00BC2A94">
        <w:t>TopoScout</w:t>
      </w:r>
      <w:proofErr w:type="spellEnd"/>
      <w:r w:rsidRPr="00BC2A94">
        <w:t xml:space="preserve"> Complete Package.</w:t>
      </w:r>
      <w:r w:rsidRPr="00BC2A94">
        <w:br/>
      </w:r>
      <w:r w:rsidRPr="00BC2A94">
        <w:br/>
        <w:t>Then ask:</w:t>
      </w:r>
      <w:r w:rsidRPr="00BC2A94">
        <w:br/>
      </w:r>
      <w:r w:rsidRPr="00BC2A94">
        <w:br/>
        <w:t>&gt; “Which one lets you begin your actual next task sooner, and why?”</w:t>
      </w:r>
      <w:r w:rsidRPr="00BC2A94">
        <w:br/>
      </w:r>
      <w:r w:rsidRPr="00BC2A94">
        <w:br/>
        <w:t>If the answer is “</w:t>
      </w:r>
      <w:proofErr w:type="spellStart"/>
      <w:r w:rsidRPr="00BC2A94">
        <w:t>Cadmapper</w:t>
      </w:r>
      <w:proofErr w:type="spellEnd"/>
      <w:r w:rsidRPr="00BC2A94">
        <w:t xml:space="preserve"> is free and has the same layers,” the </w:t>
      </w:r>
      <w:proofErr w:type="spellStart"/>
      <w:r w:rsidRPr="00BC2A94">
        <w:t>TopoScout</w:t>
      </w:r>
      <w:proofErr w:type="spellEnd"/>
      <w:r w:rsidRPr="00BC2A94">
        <w:t xml:space="preserve"> bundle needs clearer, tangible advantages.</w:t>
      </w:r>
      <w:r w:rsidRPr="00BC2A94">
        <w:br/>
      </w:r>
      <w:r w:rsidRPr="00BC2A94">
        <w:br/>
        <w:t>If the answer is “</w:t>
      </w:r>
      <w:proofErr w:type="spellStart"/>
      <w:r w:rsidRPr="00BC2A94">
        <w:t>TopoScout</w:t>
      </w:r>
      <w:proofErr w:type="spellEnd"/>
      <w:r w:rsidRPr="00BC2A94">
        <w:t xml:space="preserve"> is already placed correctly, includes parcel context and contours, tells me what I am looking at, and saves 30–60 minutes of setup,” then **$49 is easy to justify**.</w:t>
      </w:r>
      <w:r w:rsidRPr="00BC2A94">
        <w:br/>
      </w:r>
      <w:r w:rsidRPr="00BC2A94">
        <w:br/>
        <w:t>## Pricing implication</w:t>
      </w:r>
      <w:r w:rsidRPr="00BC2A94">
        <w:br/>
      </w:r>
      <w:r w:rsidRPr="00BC2A94">
        <w:br/>
        <w:t xml:space="preserve">At **$49**, you are not charging for the existence of public roads or building footprints. You </w:t>
      </w:r>
      <w:r w:rsidRPr="00BC2A94">
        <w:lastRenderedPageBreak/>
        <w:t>are charging for:</w:t>
      </w:r>
      <w:r w:rsidRPr="00BC2A94">
        <w:br/>
      </w:r>
      <w:r w:rsidRPr="00BC2A94">
        <w:br/>
        <w:t>- Correct site selection and standardized geographic extent.</w:t>
      </w:r>
      <w:r w:rsidRPr="00BC2A94">
        <w:br/>
        <w:t>- Automated data assembly and cleanup.</w:t>
      </w:r>
      <w:r w:rsidRPr="00BC2A94">
        <w:br/>
        <w:t>- State Plane projection and CAD organization.</w:t>
      </w:r>
      <w:r w:rsidRPr="00BC2A94">
        <w:br/>
        <w:t>- Parcel, topo, and context layers in one package.</w:t>
      </w:r>
      <w:r w:rsidRPr="00BC2A94">
        <w:br/>
        <w:t>- The report and field-support files.</w:t>
      </w:r>
      <w:r w:rsidRPr="00BC2A94">
        <w:br/>
        <w:t>- A predictable delivery workflow, refund protection, and no subscription.</w:t>
      </w:r>
      <w:r w:rsidRPr="00BC2A94">
        <w:br/>
      </w:r>
      <w:r w:rsidRPr="00BC2A94">
        <w:br/>
        <w:t>That is a valid paid product, but only if the final deliverable makes those benefits obvious within the first minute after opening it.</w:t>
      </w:r>
      <w:r w:rsidRPr="00BC2A94">
        <w:br/>
      </w:r>
      <w:r w:rsidRPr="00BC2A94">
        <w:br/>
        <w:t>## Bottom line</w:t>
      </w:r>
      <w:r w:rsidRPr="00BC2A94">
        <w:br/>
      </w:r>
      <w:r w:rsidRPr="00BC2A94">
        <w:br/>
      </w:r>
      <w:proofErr w:type="spellStart"/>
      <w:r w:rsidRPr="00BC2A94">
        <w:t>Cadmapper</w:t>
      </w:r>
      <w:proofErr w:type="spellEnd"/>
      <w:r w:rsidRPr="00BC2A94">
        <w:t xml:space="preserve"> is a genuine adjacent competitor for the </w:t>
      </w:r>
      <w:proofErr w:type="spellStart"/>
      <w:r w:rsidRPr="00BC2A94">
        <w:t>DXF</w:t>
      </w:r>
      <w:proofErr w:type="spellEnd"/>
      <w:r w:rsidRPr="00BC2A94">
        <w:t xml:space="preserve"> portion of </w:t>
      </w:r>
      <w:proofErr w:type="spellStart"/>
      <w:r w:rsidRPr="00BC2A94">
        <w:t>TopoScout</w:t>
      </w:r>
      <w:proofErr w:type="spellEnd"/>
      <w:r w:rsidRPr="00BC2A94">
        <w:t>. It is not enough to differentiate through layer categories alone, because both products can include roads, buildings, water, and terrain.</w:t>
      </w:r>
      <w:r w:rsidRPr="00BC2A94">
        <w:br/>
      </w:r>
      <w:r w:rsidRPr="00BC2A94">
        <w:br/>
        <w:t xml:space="preserve">Your winning position is: **an address-led, parcel-aware, State Plane, preliminary planning package for real project sites—not a generic urban map </w:t>
      </w:r>
      <w:proofErr w:type="gramStart"/>
      <w:r w:rsidRPr="00BC2A94">
        <w:t>export.*</w:t>
      </w:r>
      <w:proofErr w:type="gramEnd"/>
      <w:r w:rsidRPr="00BC2A94">
        <w:t>*</w:t>
      </w:r>
      <w:r w:rsidRPr="00BC2A94">
        <w:br/>
      </w:r>
      <w:r w:rsidRPr="00BC2A94">
        <w:br/>
        <w:t>Sent from my iPhone</w:t>
      </w:r>
    </w:p>
    <w:p w14:paraId="1B153AF6" w14:textId="2D6BC5C0" w:rsidR="005041E0" w:rsidRDefault="005041E0" w:rsidP="00BC2A94"/>
    <w:sectPr w:rsidR="00504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A94"/>
    <w:rsid w:val="0045540B"/>
    <w:rsid w:val="005041E0"/>
    <w:rsid w:val="00831DB1"/>
    <w:rsid w:val="00974C42"/>
    <w:rsid w:val="00BC2A94"/>
    <w:rsid w:val="00C7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71F4"/>
  <w15:chartTrackingRefBased/>
  <w15:docId w15:val="{E89E9A26-9D77-4DC2-A79B-2E3FCD448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A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2A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A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mail.google.com/mail/u/0/" TargetMode="External"/><Relationship Id="rId4" Type="http://schemas.openxmlformats.org/officeDocument/2006/relationships/hyperlink" Target="https://mail.google.com/mail/u/0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772</Words>
  <Characters>4402</Characters>
  <Application>Microsoft Office Word</Application>
  <DocSecurity>0</DocSecurity>
  <Lines>36</Lines>
  <Paragraphs>10</Paragraphs>
  <ScaleCrop>false</ScaleCrop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Damon Lunsford</dc:creator>
  <cp:keywords/>
  <dc:description/>
  <cp:lastModifiedBy>Damon Lunsford</cp:lastModifiedBy>
  <cp:revision>1</cp:revision>
  <dcterms:created xsi:type="dcterms:W3CDTF">2026-07-19T03:56:00Z</dcterms:created>
  <dcterms:modified xsi:type="dcterms:W3CDTF">2026-07-19T03:58:00Z</dcterms:modified>
</cp:coreProperties>
</file>