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0"/>
      </w:pPr>
      <w:r>
        <w:rPr>
          <w:rFonts w:ascii="Calibri" w:cs="Calibri" w:eastAsia="Calibri" w:hAnsi="Calibri"/>
          <w:b/>
          <w:bCs/>
          <w:color w:val="0B2545"/>
          <w:sz w:val="30"/>
          <w:szCs w:val="30"/>
        </w:rPr>
        <w:t xml:space="preserve">DockMaster Service Writer</w:t>
      </w:r>
    </w:p>
    <w:p>
      <w:pPr>
        <w:spacing w:after="40" w:before="0" w:line="240"/>
      </w:pPr>
      <w:r>
        <w:rPr>
          <w:rFonts w:ascii="Calibri" w:cs="Calibri" w:eastAsia="Calibri" w:hAnsi="Calibri"/>
          <w:color w:val="5B6B7A"/>
          <w:sz w:val="20"/>
          <w:szCs w:val="20"/>
        </w:rPr>
        <w:t xml:space="preserve">One-page go-to-market plan and 12-month roadmap</w:t>
      </w:r>
    </w:p>
    <w:p>
      <w:pPr>
        <w:spacing w:after="80" w:before="0" w:line="240"/>
      </w:pPr>
      <w:r>
        <w:rPr>
          <w:rFonts w:ascii="Calibri" w:cs="Calibri" w:eastAsia="Calibri" w:hAnsi="Calibri"/>
          <w:color w:val="5B6B7A"/>
          <w:sz w:val="15"/>
          <w:szCs w:val="15"/>
        </w:rPr>
        <w:t xml:space="preserve">Scott Anderson  |  Valsoft AI Venture Builder case study  |  September 2026. Figures marked (assumption) need Valsoft data to confirm.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30" w:before="0" w:line="240"/>
            </w:pPr>
            <w:r>
              <w:rPr>
                <w:rFonts w:ascii="Calibri" w:cs="Calibri" w:eastAsia="Calibri" w:hAnsi="Calibri"/>
                <w:b/>
                <w:bCs/>
                <w:color w:val="0B2545"/>
                <w:sz w:val="20"/>
                <w:szCs w:val="20"/>
              </w:rPr>
              <w:t xml:space="preserve">Positioning</w:t>
            </w:r>
          </w:p>
          <w:p>
            <w:pPr>
              <w:spacing w:after="30" w:before="0" w:line="240"/>
            </w:pPr>
            <w:r>
              <w:rPr>
                <w:rFonts w:ascii="Calibri" w:cs="Calibri" w:eastAsia="Calibri" w:hAnsi="Calibri"/>
                <w:b/>
                <w:bCs/>
                <w:color w:val="1B2430"/>
                <w:sz w:val="16"/>
                <w:szCs w:val="16"/>
              </w:rPr>
              <w:t xml:space="preserve">Turn every technician note into approved, billable work. </w:t>
            </w:r>
            <w:r>
              <w:rPr>
                <w:rFonts w:ascii="Calibri" w:cs="Calibri" w:eastAsia="Calibri" w:hAnsi="Calibri"/>
                <w:color w:val="1B2430"/>
                <w:sz w:val="16"/>
                <w:szCs w:val="16"/>
              </w:rPr>
              <w:t xml:space="preserve">The Service Writer drafts the estimate from the yard's own operation codes, labour standards and parts, hands off to eSign, the AI Scheduling Assistant and Blu, then finds the next job and gets it paid.</w:t>
            </w:r>
          </w:p>
          <w:p>
            <w:pPr>
              <w:spacing w:after="30" w:before="0" w:line="240"/>
            </w:pPr>
            <w:r>
              <w:rPr>
                <w:rFonts w:ascii="Calibri" w:cs="Calibri" w:eastAsia="Calibri" w:hAnsi="Calibri"/>
                <w:b/>
                <w:bCs/>
                <w:color w:val="1B2430"/>
                <w:sz w:val="16"/>
                <w:szCs w:val="16"/>
              </w:rPr>
              <w:t xml:space="preserve">Against the field: </w:t>
            </w:r>
            <w:r>
              <w:rPr>
                <w:rFonts w:ascii="Calibri" w:cs="Calibri" w:eastAsia="Calibri" w:hAnsi="Calibri"/>
                <w:color w:val="1B2430"/>
                <w:sz w:val="16"/>
                <w:szCs w:val="16"/>
              </w:rPr>
              <w:t xml:space="preserve">Dockwa fills slips; DockMaster runs the yard. Molo and MarinaOffice look modern but do not hold 40 years of work orders. AI-native newcomers have a chatbot on top of nothing.</w:t>
            </w:r>
          </w:p>
          <w:p>
            <w:pPr>
              <w:spacing w:after="30" w:before="0" w:line="240"/>
            </w:pPr>
            <w:r>
              <w:rPr>
                <w:rFonts w:ascii="Calibri" w:cs="Calibri" w:eastAsia="Calibri" w:hAnsi="Calibri"/>
                <w:b/>
                <w:bCs/>
                <w:color w:val="0B2545"/>
                <w:sz w:val="20"/>
                <w:szCs w:val="20"/>
              </w:rPr>
              <w:t xml:space="preserve">Ideal customer</w:t>
            </w:r>
          </w:p>
          <w:p>
            <w:pPr>
              <w:spacing w:after="30" w:before="0" w:line="240"/>
            </w:pPr>
            <w:r>
              <w:rPr>
                <w:rFonts w:ascii="Calibri" w:cs="Calibri" w:eastAsia="Calibri" w:hAnsi="Calibri"/>
                <w:color w:val="1B2430"/>
                <w:sz w:val="16"/>
                <w:szCs w:val="16"/>
              </w:rPr>
              <w:t xml:space="preserve">Full-service marina or boatyard with a real service department: 50-500 slips or dry stack, 3-25 technicians, $2M-$30M revenue, seasonal. On DockMaster Desktop, partly on Web 2.0 and Mobile. Buyer is the owner or GM (billable-hour recovery, AR days); daily user is the service manager; technicians feed it from Mobile. Secondary: PE-backed multi-site groups, and small shops from the Dockworks base for the standalone product.</w:t>
            </w:r>
          </w:p>
          <w:p>
            <w:pPr>
              <w:spacing w:after="30" w:before="0" w:line="240"/>
            </w:pPr>
            <w:r>
              <w:rPr>
                <w:rFonts w:ascii="Calibri" w:cs="Calibri" w:eastAsia="Calibri" w:hAnsi="Calibri"/>
                <w:b/>
                <w:bCs/>
                <w:color w:val="0B2545"/>
                <w:sz w:val="20"/>
                <w:szCs w:val="20"/>
              </w:rPr>
              <w:t xml:space="preserve">The thesis: sell every marina its own money</w:t>
            </w:r>
          </w:p>
          <w:p>
            <w:pPr>
              <w:spacing w:after="30" w:before="0" w:line="240"/>
            </w:pPr>
            <w:r>
              <w:rPr>
                <w:rFonts w:ascii="Calibri" w:cs="Calibri" w:eastAsia="Calibri" w:hAnsi="Calibri"/>
                <w:color w:val="1B2430"/>
                <w:sz w:val="16"/>
                <w:szCs w:val="16"/>
              </w:rPr>
              <w:t xml:space="preserve">DockMaster already holds each account's work orders, invoices and vessel histories. With consent, the pitch is computed from that data per account ("you billed 4,120 of 5,300 standard hours; 61 vessels are past interval; $84k of AR is over 45 days") and delivered as a free value report. Agents do the mining, modelling, drafting and follow-up. A named human approves every send.</w:t>
            </w:r>
          </w:p>
        </w:tc>
        <w:tc>
          <w:tcPr>
            <w:tcW w:type="dxa" w:w="540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30" w:before="0" w:line="240"/>
            </w:pPr>
            <w:r>
              <w:rPr>
                <w:rFonts w:ascii="Calibri" w:cs="Calibri" w:eastAsia="Calibri" w:hAnsi="Calibri"/>
                <w:b/>
                <w:bCs/>
                <w:color w:val="0B2545"/>
                <w:sz w:val="20"/>
                <w:szCs w:val="20"/>
              </w:rPr>
              <w:t xml:space="preserve">Packaging (assumption)</w:t>
            </w:r>
          </w:p>
          <w:p>
            <w:pPr>
              <w:spacing w:after="30" w:before="0" w:line="240"/>
            </w:pPr>
            <w:r>
              <w:rPr>
                <w:rFonts w:ascii="Calibri" w:cs="Calibri" w:eastAsia="Calibri" w:hAnsi="Calibri"/>
                <w:b/>
                <w:bCs/>
                <w:color w:val="1B2430"/>
                <w:sz w:val="16"/>
                <w:szCs w:val="16"/>
              </w:rPr>
              <w:t xml:space="preserve">Service Writer: </w:t>
            </w:r>
            <w:r>
              <w:rPr>
                <w:rFonts w:ascii="Calibri" w:cs="Calibri" w:eastAsia="Calibri" w:hAnsi="Calibri"/>
                <w:color w:val="1B2430"/>
                <w:sz w:val="16"/>
                <w:szCs w:val="16"/>
              </w:rPr>
              <w:t xml:space="preserve">drafting, history flags, eSign handoff. Per location plus per active technician, anchored to one recovered billable hour per tech per week.</w:t>
            </w:r>
          </w:p>
          <w:p>
            <w:pPr>
              <w:spacing w:after="30" w:before="0" w:line="240"/>
            </w:pPr>
            <w:r>
              <w:rPr>
                <w:rFonts w:ascii="Calibri" w:cs="Calibri" w:eastAsia="Calibri" w:hAnsi="Calibri"/>
                <w:b/>
                <w:bCs/>
                <w:color w:val="1B2430"/>
                <w:sz w:val="16"/>
                <w:szCs w:val="16"/>
              </w:rPr>
              <w:t xml:space="preserve">AI Service Desk: </w:t>
            </w:r>
            <w:r>
              <w:rPr>
                <w:rFonts w:ascii="Calibri" w:cs="Calibri" w:eastAsia="Calibri" w:hAnsi="Calibri"/>
                <w:color w:val="1B2430"/>
                <w:sz w:val="16"/>
                <w:szCs w:val="16"/>
              </w:rPr>
              <w:t xml:space="preserve">adds AI Scheduling and Blu Voice. Bundle discount.</w:t>
            </w:r>
          </w:p>
          <w:p>
            <w:pPr>
              <w:spacing w:after="30" w:before="0" w:line="240"/>
            </w:pPr>
            <w:r>
              <w:rPr>
                <w:rFonts w:ascii="Calibri" w:cs="Calibri" w:eastAsia="Calibri" w:hAnsi="Calibri"/>
                <w:b/>
                <w:bCs/>
                <w:color w:val="1B2430"/>
                <w:sz w:val="16"/>
                <w:szCs w:val="16"/>
              </w:rPr>
              <w:t xml:space="preserve">Revenue Suite: </w:t>
            </w:r>
            <w:r>
              <w:rPr>
                <w:rFonts w:ascii="Calibri" w:cs="Calibri" w:eastAsia="Calibri" w:hAnsi="Calibri"/>
                <w:color w:val="1B2430"/>
                <w:sz w:val="16"/>
                <w:szCs w:val="16"/>
              </w:rPr>
              <w:t xml:space="preserve">adds proactive outreach and collections via ValPay. Payments margin subsidises software.</w:t>
            </w:r>
          </w:p>
          <w:p>
            <w:pPr>
              <w:spacing w:after="30" w:before="0" w:line="240"/>
            </w:pPr>
            <w:r>
              <w:rPr>
                <w:rFonts w:ascii="Calibri" w:cs="Calibri" w:eastAsia="Calibri" w:hAnsi="Calibri"/>
                <w:b/>
                <w:bCs/>
                <w:color w:val="1B2430"/>
                <w:sz w:val="16"/>
                <w:szCs w:val="16"/>
              </w:rPr>
              <w:t xml:space="preserve">Group: </w:t>
            </w:r>
            <w:r>
              <w:rPr>
                <w:rFonts w:ascii="Calibri" w:cs="Calibri" w:eastAsia="Calibri" w:hAnsi="Calibri"/>
                <w:color w:val="1B2430"/>
                <w:sz w:val="16"/>
                <w:szCs w:val="16"/>
              </w:rPr>
              <w:t xml:space="preserve">adds multi-site benchmarking for PE roll-ups. All tiers require Web and Mobile, so the product doubles as the Desktop-to-Web migration engine.</w:t>
            </w:r>
          </w:p>
          <w:p>
            <w:pPr>
              <w:spacing w:after="30" w:before="0" w:line="240"/>
            </w:pPr>
            <w:r>
              <w:rPr>
                <w:rFonts w:ascii="Calibri" w:cs="Calibri" w:eastAsia="Calibri" w:hAnsi="Calibri"/>
                <w:b/>
                <w:bCs/>
                <w:color w:val="0B2545"/>
                <w:sz w:val="20"/>
                <w:szCs w:val="20"/>
              </w:rPr>
              <w:t xml:space="preserve">Motions and channels</w:t>
            </w:r>
          </w:p>
          <w:p>
            <w:pPr>
              <w:spacing w:after="30" w:before="0" w:line="240"/>
            </w:pPr>
            <w:r>
              <w:rPr>
                <w:rFonts w:ascii="Calibri" w:cs="Calibri" w:eastAsia="Calibri" w:hAnsi="Calibri"/>
                <w:b/>
                <w:bCs/>
                <w:color w:val="1B2430"/>
                <w:sz w:val="16"/>
                <w:szCs w:val="16"/>
              </w:rPr>
              <w:t xml:space="preserve">1. Install base: </w:t>
            </w:r>
            <w:r>
              <w:rPr>
                <w:rFonts w:ascii="Calibri" w:cs="Calibri" w:eastAsia="Calibri" w:hAnsi="Calibri"/>
                <w:color w:val="1B2430"/>
                <w:sz w:val="16"/>
                <w:szCs w:val="16"/>
              </w:rPr>
              <w:t xml:space="preserve">CSM-led, agent-prepared. Launch at the Oct 19-23 user conference with per-attendee sandboxes and the 2027 roadmap dot-vote.</w:t>
            </w:r>
          </w:p>
          <w:p>
            <w:pPr>
              <w:spacing w:after="30" w:before="0" w:line="240"/>
            </w:pPr>
            <w:r>
              <w:rPr>
                <w:rFonts w:ascii="Calibri" w:cs="Calibri" w:eastAsia="Calibri" w:hAnsi="Calibri"/>
                <w:b/>
                <w:bCs/>
                <w:color w:val="1B2430"/>
                <w:sz w:val="16"/>
                <w:szCs w:val="16"/>
              </w:rPr>
              <w:t xml:space="preserve">2. New logos: </w:t>
            </w:r>
            <w:r>
              <w:rPr>
                <w:rFonts w:ascii="Calibri" w:cs="Calibri" w:eastAsia="Calibri" w:hAnsi="Calibri"/>
                <w:color w:val="1B2430"/>
                <w:sz w:val="16"/>
                <w:szCs w:val="16"/>
              </w:rPr>
              <w:t xml:space="preserve">free "paste a tech note, get an estimate" web tool; displacement at service-heavy yards; Marina Dock Age, AMI, ABYC, boat shows; OEM and parts-distributor partners; Capterra review programme.</w:t>
            </w:r>
          </w:p>
          <w:p>
            <w:pPr>
              <w:spacing w:after="30" w:before="0" w:line="240"/>
            </w:pPr>
            <w:r>
              <w:rPr>
                <w:rFonts w:ascii="Calibri" w:cs="Calibri" w:eastAsia="Calibri" w:hAnsi="Calibri"/>
                <w:b/>
                <w:bCs/>
                <w:color w:val="1B2430"/>
                <w:sz w:val="16"/>
                <w:szCs w:val="16"/>
              </w:rPr>
              <w:t xml:space="preserve">3. Beyond the ecosystem: </w:t>
            </w:r>
            <w:r>
              <w:rPr>
                <w:rFonts w:ascii="Calibri" w:cs="Calibri" w:eastAsia="Calibri" w:hAnsi="Calibri"/>
                <w:color w:val="1B2430"/>
                <w:sz w:val="16"/>
                <w:szCs w:val="16"/>
              </w:rPr>
              <w:t xml:space="preserve">standalone Service Writer for marine and powersports shops on other DMS platforms, the Valsoft AI Ventures step.</w:t>
            </w:r>
          </w:p>
          <w:p>
            <w:pPr>
              <w:spacing w:after="30" w:before="0" w:line="240"/>
            </w:pPr>
            <w:r>
              <w:rPr>
                <w:rFonts w:ascii="Calibri" w:cs="Calibri" w:eastAsia="Calibri" w:hAnsi="Calibri"/>
                <w:b/>
                <w:bCs/>
                <w:color w:val="0B2545"/>
                <w:sz w:val="20"/>
                <w:szCs w:val="20"/>
              </w:rPr>
              <w:t xml:space="preserve">Agents that sell</w:t>
            </w:r>
          </w:p>
          <w:p>
            <w:pPr>
              <w:spacing w:after="30" w:before="0" w:line="240"/>
            </w:pPr>
            <w:r>
              <w:rPr>
                <w:rFonts w:ascii="Calibri" w:cs="Calibri" w:eastAsia="Calibri" w:hAnsi="Calibri"/>
                <w:color w:val="1B2430"/>
                <w:sz w:val="16"/>
                <w:szCs w:val="16"/>
              </w:rPr>
              <w:t xml:space="preserve">Opportunity Scout (per-account revenue report), Account Researcher, Sequencer, Demo Builder, Try-It Concierge, Sales Engineer and Deal Desk, Onboarding, Adoption, Proof, Voice of Customer, Conference Concierge, Partner. All draft into one review queue and write back to the CRM record. Guardrails: consent first, human send, CAN-SPAM and TCPA, dedicated warmed sending domains with SPF, DKIM and DMARC aligned, every dollar figure traceable to its query.</w:t>
            </w:r>
          </w:p>
        </w:tc>
      </w:tr>
    </w:tbl>
    <w:p>
      <w:pPr>
        <w:spacing w:after="40" w:before="80" w:line="240"/>
      </w:pPr>
      <w:r>
        <w:rPr>
          <w:rFonts w:ascii="Calibri" w:cs="Calibri" w:eastAsia="Calibri" w:hAnsi="Calibri"/>
          <w:b/>
          <w:bCs/>
          <w:color w:val="0B2545"/>
          <w:sz w:val="20"/>
          <w:szCs w:val="20"/>
        </w:rPr>
        <w:t xml:space="preserve">12-month roadmap: October 2026 to September 2027</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2325"/>
        <w:gridCol w:w="2325"/>
        <w:gridCol w:w="2325"/>
        <w:gridCol w:w="2325"/>
      </w:tblGrid>
      <w:tr>
        <w:trPr>
          <w:tblHeader/>
        </w:trPr>
        <w:tc>
          <w:tcPr>
            <w:tcW w:type="dxa" w:w="1500"/>
            <w:tcBorders>
              <w:top w:val="single" w:color="D9E0E6" w:sz="4"/>
              <w:left w:val="single" w:color="D9E0E6" w:sz="4"/>
              <w:bottom w:val="single" w:color="D9E0E6" w:sz="4"/>
              <w:right w:val="single" w:color="D9E0E6" w:sz="4"/>
            </w:tcBorders>
            <w:shd w:fill="0B2545" w:color="auto" w:val="clear"/>
            <w:tcMar>
              <w:top w:type="dxa" w:w="40"/>
              <w:left w:type="dxa" w:w="90"/>
              <w:bottom w:type="dxa" w:w="40"/>
              <w:right w:type="dxa" w:w="90"/>
            </w:tcMar>
          </w:tcPr>
          <w:p>
            <w:pPr>
              <w:spacing w:after="40" w:before="0" w:line="240"/>
              <w:jc w:val="center"/>
            </w:pPr>
            <w:r>
              <w:rPr>
                <w:rFonts w:ascii="Calibri" w:cs="Calibri" w:eastAsia="Calibri" w:hAnsi="Calibri"/>
                <w:b/>
                <w:bCs/>
                <w:color w:val="FFFFFF"/>
                <w:sz w:val="17"/>
                <w:szCs w:val="17"/>
              </w:rPr>
              <w:t xml:space="preserve">Workstream</w:t>
            </w:r>
          </w:p>
        </w:tc>
        <w:tc>
          <w:tcPr>
            <w:tcW w:type="dxa" w:w="2325"/>
            <w:tcBorders>
              <w:top w:val="single" w:color="D9E0E6" w:sz="4"/>
              <w:left w:val="single" w:color="D9E0E6" w:sz="4"/>
              <w:bottom w:val="single" w:color="D9E0E6" w:sz="4"/>
              <w:right w:val="single" w:color="D9E0E6" w:sz="4"/>
            </w:tcBorders>
            <w:shd w:fill="0B2545" w:color="auto" w:val="clear"/>
            <w:tcMar>
              <w:top w:type="dxa" w:w="40"/>
              <w:left w:type="dxa" w:w="90"/>
              <w:bottom w:type="dxa" w:w="40"/>
              <w:right w:type="dxa" w:w="90"/>
            </w:tcMar>
          </w:tcPr>
          <w:p>
            <w:pPr>
              <w:spacing w:after="40" w:before="0" w:line="240"/>
              <w:jc w:val="center"/>
            </w:pPr>
            <w:r>
              <w:rPr>
                <w:rFonts w:ascii="Calibri" w:cs="Calibri" w:eastAsia="Calibri" w:hAnsi="Calibri"/>
                <w:b/>
                <w:bCs/>
                <w:color w:val="FFFFFF"/>
                <w:sz w:val="17"/>
                <w:szCs w:val="17"/>
              </w:rPr>
              <w:t xml:space="preserve">Q4 2026</w:t>
            </w:r>
          </w:p>
        </w:tc>
        <w:tc>
          <w:tcPr>
            <w:tcW w:type="dxa" w:w="2325"/>
            <w:tcBorders>
              <w:top w:val="single" w:color="D9E0E6" w:sz="4"/>
              <w:left w:val="single" w:color="D9E0E6" w:sz="4"/>
              <w:bottom w:val="single" w:color="D9E0E6" w:sz="4"/>
              <w:right w:val="single" w:color="D9E0E6" w:sz="4"/>
            </w:tcBorders>
            <w:shd w:fill="0B2545" w:color="auto" w:val="clear"/>
            <w:tcMar>
              <w:top w:type="dxa" w:w="40"/>
              <w:left w:type="dxa" w:w="90"/>
              <w:bottom w:type="dxa" w:w="40"/>
              <w:right w:type="dxa" w:w="90"/>
            </w:tcMar>
          </w:tcPr>
          <w:p>
            <w:pPr>
              <w:spacing w:after="40" w:before="0" w:line="240"/>
              <w:jc w:val="center"/>
            </w:pPr>
            <w:r>
              <w:rPr>
                <w:rFonts w:ascii="Calibri" w:cs="Calibri" w:eastAsia="Calibri" w:hAnsi="Calibri"/>
                <w:b/>
                <w:bCs/>
                <w:color w:val="FFFFFF"/>
                <w:sz w:val="17"/>
                <w:szCs w:val="17"/>
              </w:rPr>
              <w:t xml:space="preserve">Q1 2027</w:t>
            </w:r>
          </w:p>
        </w:tc>
        <w:tc>
          <w:tcPr>
            <w:tcW w:type="dxa" w:w="2325"/>
            <w:tcBorders>
              <w:top w:val="single" w:color="D9E0E6" w:sz="4"/>
              <w:left w:val="single" w:color="D9E0E6" w:sz="4"/>
              <w:bottom w:val="single" w:color="D9E0E6" w:sz="4"/>
              <w:right w:val="single" w:color="D9E0E6" w:sz="4"/>
            </w:tcBorders>
            <w:shd w:fill="0B2545" w:color="auto" w:val="clear"/>
            <w:tcMar>
              <w:top w:type="dxa" w:w="40"/>
              <w:left w:type="dxa" w:w="90"/>
              <w:bottom w:type="dxa" w:w="40"/>
              <w:right w:type="dxa" w:w="90"/>
            </w:tcMar>
          </w:tcPr>
          <w:p>
            <w:pPr>
              <w:spacing w:after="40" w:before="0" w:line="240"/>
              <w:jc w:val="center"/>
            </w:pPr>
            <w:r>
              <w:rPr>
                <w:rFonts w:ascii="Calibri" w:cs="Calibri" w:eastAsia="Calibri" w:hAnsi="Calibri"/>
                <w:b/>
                <w:bCs/>
                <w:color w:val="FFFFFF"/>
                <w:sz w:val="17"/>
                <w:szCs w:val="17"/>
              </w:rPr>
              <w:t xml:space="preserve">Q2 2027</w:t>
            </w:r>
          </w:p>
        </w:tc>
        <w:tc>
          <w:tcPr>
            <w:tcW w:type="dxa" w:w="2325"/>
            <w:tcBorders>
              <w:top w:val="single" w:color="D9E0E6" w:sz="4"/>
              <w:left w:val="single" w:color="D9E0E6" w:sz="4"/>
              <w:bottom w:val="single" w:color="D9E0E6" w:sz="4"/>
              <w:right w:val="single" w:color="D9E0E6" w:sz="4"/>
            </w:tcBorders>
            <w:shd w:fill="0B2545" w:color="auto" w:val="clear"/>
            <w:tcMar>
              <w:top w:type="dxa" w:w="40"/>
              <w:left w:type="dxa" w:w="90"/>
              <w:bottom w:type="dxa" w:w="40"/>
              <w:right w:type="dxa" w:w="90"/>
            </w:tcMar>
          </w:tcPr>
          <w:p>
            <w:pPr>
              <w:spacing w:after="40" w:before="0" w:line="240"/>
              <w:jc w:val="center"/>
            </w:pPr>
            <w:r>
              <w:rPr>
                <w:rFonts w:ascii="Calibri" w:cs="Calibri" w:eastAsia="Calibri" w:hAnsi="Calibri"/>
                <w:b/>
                <w:bCs/>
                <w:color w:val="FFFFFF"/>
                <w:sz w:val="17"/>
                <w:szCs w:val="17"/>
              </w:rPr>
              <w:t xml:space="preserve">Q3 2027</w:t>
            </w:r>
          </w:p>
        </w:tc>
      </w:tr>
      <w:tr>
        <w:tc>
          <w:tcPr>
            <w:tcW w:type="dxa" w:w="1500"/>
            <w:tcBorders>
              <w:top w:val="single" w:color="D9E0E6" w:sz="4"/>
              <w:left w:val="single" w:color="D9E0E6" w:sz="4"/>
              <w:bottom w:val="single" w:color="D9E0E6" w:sz="4"/>
              <w:right w:val="single" w:color="D9E0E6" w:sz="4"/>
            </w:tcBorders>
            <w:shd w:fill="F3F6F8" w:color="auto" w:val="clear"/>
            <w:tcMar>
              <w:top w:type="dxa" w:w="40"/>
              <w:left w:type="dxa" w:w="90"/>
              <w:bottom w:type="dxa" w:w="40"/>
              <w:right w:type="dxa" w:w="90"/>
            </w:tcMar>
            <w:vAlign w:val="top"/>
          </w:tcPr>
          <w:p>
            <w:pPr>
              <w:spacing w:after="40" w:before="0" w:line="240"/>
            </w:pPr>
            <w:r>
              <w:rPr>
                <w:rFonts w:ascii="Calibri" w:cs="Calibri" w:eastAsia="Calibri" w:hAnsi="Calibri"/>
                <w:b/>
                <w:bCs/>
                <w:color w:val="0B2545"/>
                <w:sz w:val="17"/>
                <w:szCs w:val="17"/>
              </w:rPr>
              <w:t xml:space="preserve">Product</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Service Writer GA on Web 2.0. Golden sets from 12 design partners. Confidence badges, scoped codes, audit trail.</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Release 2: proactive service demand. Onboarding agent for operation-code cleanup. Desktop-to-Web migration tooling.</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Release 3: collections via ValPay. Warranty claim assembly beta. Multi-site data model.</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Group benchmarking. Partner API for third-party DMS pilots. Standalone packaging.</w:t>
            </w:r>
          </w:p>
        </w:tc>
      </w:tr>
      <w:tr>
        <w:tc>
          <w:tcPr>
            <w:tcW w:type="dxa" w:w="1500"/>
            <w:tcBorders>
              <w:top w:val="single" w:color="D9E0E6" w:sz="4"/>
              <w:left w:val="single" w:color="D9E0E6" w:sz="4"/>
              <w:bottom w:val="single" w:color="D9E0E6" w:sz="4"/>
              <w:right w:val="single" w:color="D9E0E6" w:sz="4"/>
            </w:tcBorders>
            <w:shd w:fill="F3F6F8" w:color="auto" w:val="clear"/>
            <w:tcMar>
              <w:top w:type="dxa" w:w="40"/>
              <w:left w:type="dxa" w:w="90"/>
              <w:bottom w:type="dxa" w:w="40"/>
              <w:right w:type="dxa" w:w="90"/>
            </w:tcMar>
            <w:vAlign w:val="top"/>
          </w:tcPr>
          <w:p>
            <w:pPr>
              <w:spacing w:after="40" w:before="0" w:line="240"/>
            </w:pPr>
            <w:r>
              <w:rPr>
                <w:rFonts w:ascii="Calibri" w:cs="Calibri" w:eastAsia="Calibri" w:hAnsi="Calibri"/>
                <w:b/>
                <w:bCs/>
                <w:color w:val="0B2545"/>
                <w:sz w:val="17"/>
                <w:szCs w:val="17"/>
              </w:rPr>
              <w:t xml:space="preserve">Go-to-market</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Conference launch, roadmap dot-vote, per-attendee sandboxes. 12 design partners on beta in exchange for data and a case study.</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Base conversion push before spring commissioning. Free web tool live. Pricing tested with five accounts.</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New-logo motion vs Molo and MarinaOffice. Boat-show season. Review programme wave one.</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Group and OEM partner deals. Standalone product validation with Dockworks-type shops.</w:t>
            </w:r>
          </w:p>
        </w:tc>
      </w:tr>
      <w:tr>
        <w:tc>
          <w:tcPr>
            <w:tcW w:type="dxa" w:w="1500"/>
            <w:tcBorders>
              <w:top w:val="single" w:color="D9E0E6" w:sz="4"/>
              <w:left w:val="single" w:color="D9E0E6" w:sz="4"/>
              <w:bottom w:val="single" w:color="D9E0E6" w:sz="4"/>
              <w:right w:val="single" w:color="D9E0E6" w:sz="4"/>
            </w:tcBorders>
            <w:shd w:fill="F3F6F8" w:color="auto" w:val="clear"/>
            <w:tcMar>
              <w:top w:type="dxa" w:w="40"/>
              <w:left w:type="dxa" w:w="90"/>
              <w:bottom w:type="dxa" w:w="40"/>
              <w:right w:type="dxa" w:w="90"/>
            </w:tcMar>
            <w:vAlign w:val="top"/>
          </w:tcPr>
          <w:p>
            <w:pPr>
              <w:spacing w:after="40" w:before="0" w:line="240"/>
            </w:pPr>
            <w:r>
              <w:rPr>
                <w:rFonts w:ascii="Calibri" w:cs="Calibri" w:eastAsia="Calibri" w:hAnsi="Calibri"/>
                <w:b/>
                <w:bCs/>
                <w:color w:val="0B2545"/>
                <w:sz w:val="17"/>
                <w:szCs w:val="17"/>
              </w:rPr>
              <w:t xml:space="preserve">Agents</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Scout, Researcher, Sequencer and review queue live. First 12 revenue reports validated with CSMs.</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Demo Builder, Try-It Concierge, Deal Desk and Sales Engineer live.</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Adoption, Proof and Voice of Customer agents. Weekly edit-rate reviews.</w:t>
            </w:r>
          </w:p>
        </w:tc>
        <w:tc>
          <w:tcPr>
            <w:tcW w:type="dxa" w:w="2325"/>
            <w:tcBorders>
              <w:top w:val="single" w:color="D9E0E6" w:sz="4"/>
              <w:left w:val="single" w:color="D9E0E6" w:sz="4"/>
              <w:bottom w:val="single" w:color="D9E0E6" w:sz="4"/>
              <w:right w:val="single" w:color="D9E0E6" w:sz="4"/>
            </w:tcBorders>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Partner and Conference agents. Retire or retrain any agent whose edit rate stops falling.</w:t>
            </w:r>
          </w:p>
        </w:tc>
      </w:tr>
      <w:tr>
        <w:tc>
          <w:tcPr>
            <w:tcW w:type="dxa" w:w="1500"/>
            <w:tcBorders>
              <w:top w:val="single" w:color="D9E0E6" w:sz="4"/>
              <w:left w:val="single" w:color="D9E0E6" w:sz="4"/>
              <w:bottom w:val="single" w:color="D9E0E6" w:sz="4"/>
              <w:right w:val="single" w:color="D9E0E6" w:sz="4"/>
            </w:tcBorders>
            <w:shd w:fill="F3F6F8" w:color="auto" w:val="clear"/>
            <w:tcMar>
              <w:top w:type="dxa" w:w="40"/>
              <w:left w:type="dxa" w:w="90"/>
              <w:bottom w:type="dxa" w:w="40"/>
              <w:right w:type="dxa" w:w="90"/>
            </w:tcMar>
            <w:vAlign w:val="top"/>
          </w:tcPr>
          <w:p>
            <w:pPr>
              <w:spacing w:after="40" w:before="0" w:line="240"/>
            </w:pPr>
            <w:r>
              <w:rPr>
                <w:rFonts w:ascii="Calibri" w:cs="Calibri" w:eastAsia="Calibri" w:hAnsi="Calibri"/>
                <w:b/>
                <w:bCs/>
                <w:color w:val="0B2545"/>
                <w:sz w:val="17"/>
                <w:szCs w:val="17"/>
              </w:rPr>
              <w:t xml:space="preserve">Milestones (assumption)</w:t>
            </w:r>
          </w:p>
        </w:tc>
        <w:tc>
          <w:tcPr>
            <w:tcW w:type="dxa" w:w="2325"/>
            <w:tcBorders>
              <w:top w:val="single" w:color="D9E0E6" w:sz="4"/>
              <w:left w:val="single" w:color="D9E0E6" w:sz="4"/>
              <w:bottom w:val="single" w:color="D9E0E6" w:sz="4"/>
              <w:right w:val="single" w:color="D9E0E6" w:sz="4"/>
            </w:tcBorders>
            <w:shd w:fill="E3F5F3" w:color="auto" w:val="clear"/>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12 design partners. Vessel match 95%+, operation recall 85%+. 3 written case studies.</w:t>
            </w:r>
          </w:p>
        </w:tc>
        <w:tc>
          <w:tcPr>
            <w:tcW w:type="dxa" w:w="2325"/>
            <w:tcBorders>
              <w:top w:val="single" w:color="D9E0E6" w:sz="4"/>
              <w:left w:val="single" w:color="D9E0E6" w:sz="4"/>
              <w:bottom w:val="single" w:color="D9E0E6" w:sz="4"/>
              <w:right w:val="single" w:color="D9E0E6" w:sz="4"/>
            </w:tcBorders>
            <w:shd w:fill="E3F5F3" w:color="auto" w:val="clear"/>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120 paying locations. Web migration lift 40% in engaged accounts. ValPay attach up 15 pts.</w:t>
            </w:r>
          </w:p>
        </w:tc>
        <w:tc>
          <w:tcPr>
            <w:tcW w:type="dxa" w:w="2325"/>
            <w:tcBorders>
              <w:top w:val="single" w:color="D9E0E6" w:sz="4"/>
              <w:left w:val="single" w:color="D9E0E6" w:sz="4"/>
              <w:bottom w:val="single" w:color="D9E0E6" w:sz="4"/>
              <w:right w:val="single" w:color="D9E0E6" w:sz="4"/>
            </w:tcBorders>
            <w:shd w:fill="E3F5F3" w:color="auto" w:val="clear"/>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60 new logos, 25% sourced from the free tool. Capterra rating lift.</w:t>
            </w:r>
          </w:p>
        </w:tc>
        <w:tc>
          <w:tcPr>
            <w:tcW w:type="dxa" w:w="2325"/>
            <w:tcBorders>
              <w:top w:val="single" w:color="D9E0E6" w:sz="4"/>
              <w:left w:val="single" w:color="D9E0E6" w:sz="4"/>
              <w:bottom w:val="single" w:color="D9E0E6" w:sz="4"/>
              <w:right w:val="single" w:color="D9E0E6" w:sz="4"/>
            </w:tcBorders>
            <w:shd w:fill="E3F5F3" w:color="auto" w:val="clear"/>
            <w:tcMar>
              <w:top w:type="dxa" w:w="40"/>
              <w:left w:type="dxa" w:w="90"/>
              <w:bottom w:type="dxa" w:w="40"/>
              <w:right w:type="dxa" w:w="90"/>
            </w:tcMar>
            <w:vAlign w:val="top"/>
          </w:tcPr>
          <w:p>
            <w:pPr>
              <w:spacing w:after="40" w:before="0" w:line="240"/>
            </w:pPr>
            <w:r>
              <w:rPr>
                <w:rFonts w:ascii="Calibri" w:cs="Calibri" w:eastAsia="Calibri" w:hAnsi="Calibri"/>
                <w:color w:val="1B2430"/>
                <w:sz w:val="15"/>
                <w:szCs w:val="15"/>
              </w:rPr>
              <w:t xml:space="preserve">3 multi-site groups signed, 2 OEM co-marketing deals. Phase 4 go / no-go on 2028 spin-out.</w:t>
            </w:r>
          </w:p>
        </w:tc>
      </w:tr>
    </w:tbl>
    <w:p>
      <w:pPr>
        <w:spacing w:after="30" w:before="100" w:line="240"/>
      </w:pPr>
      <w:r>
        <w:rPr>
          <w:rFonts w:ascii="Calibri" w:cs="Calibri" w:eastAsia="Calibri" w:hAnsi="Calibri"/>
          <w:b/>
          <w:bCs/>
          <w:color w:val="0B2545"/>
          <w:sz w:val="16"/>
          <w:szCs w:val="16"/>
        </w:rPr>
        <w:t xml:space="preserve">Metrics reported weekly: </w:t>
      </w:r>
      <w:r>
        <w:rPr>
          <w:rFonts w:ascii="Calibri" w:cs="Calibri" w:eastAsia="Calibri" w:hAnsi="Calibri"/>
          <w:color w:val="1B2430"/>
          <w:sz w:val="16"/>
          <w:szCs w:val="16"/>
        </w:rPr>
        <w:t xml:space="preserve">funnel (accounts scored, sequences approved, sandbox sessions, calls, proposals, closed); agent quality (human edit rate, reply rate by variant); product value (draft-to-approval time, estimate approval rate, billed vs standard hours, unbilled work recovered, DSO); business (Service Writer ARR, Web attach, ValPay volume uplift, NRR, CAC payback under 9 months, assumption).</w:t>
      </w:r>
    </w:p>
    <w:p>
      <w:pPr>
        <w:spacing w:after="40" w:before="0" w:line="240"/>
      </w:pPr>
      <w:r>
        <w:rPr>
          <w:rFonts w:ascii="Calibri" w:cs="Calibri" w:eastAsia="Calibri" w:hAnsi="Calibri"/>
          <w:b/>
          <w:bCs/>
          <w:color w:val="0B2545"/>
          <w:sz w:val="16"/>
          <w:szCs w:val="16"/>
        </w:rPr>
        <w:t xml:space="preserve">Top risks: </w:t>
      </w:r>
      <w:r>
        <w:rPr>
          <w:rFonts w:ascii="Calibri" w:cs="Calibri" w:eastAsia="Calibri" w:hAnsi="Calibri"/>
          <w:color w:val="1B2430"/>
          <w:sz w:val="16"/>
          <w:szCs w:val="16"/>
        </w:rPr>
        <w:t xml:space="preserve">customer discomfort with data-driven selling (consent first, report as free value); legacy Desktop data quality (start with Web 2.0 accounts); seasonal buyers (launch in shoulder months); BluSynq boundary (Blu owns the conversation, Service Writer owns the job record); over-automation on a 40-year brand (human send is non-negotiable).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1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2026-09-15T11:00:24.988Z</dcterms:created>
  <dcterms:modified xsi:type="dcterms:W3CDTF">2026-09-15T11:00:24.988Z</dcterms:modified>
</cp:coreProperties>
</file>

<file path=docProps/custom.xml><?xml version="1.0" encoding="utf-8"?>
<Properties xmlns="http://schemas.openxmlformats.org/officeDocument/2006/custom-properties" xmlns:vt="http://schemas.openxmlformats.org/officeDocument/2006/docPropsVTypes"/>
</file>