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line="276"/>
        <w:jc w:val="center"/>
      </w:pPr>
      <w:r>
        <w:rPr>
          <w:rFonts w:ascii="Times New Roman" w:cs="Times New Roman" w:eastAsia="Times New Roman" w:hAnsi="Times New Roman"/>
          <w:b/>
          <w:bCs/>
          <w:i w:val="false"/>
          <w:iCs w:val="false"/>
          <w:color w:val="000000"/>
          <w:sz w:val="28"/>
          <w:szCs w:val="28"/>
        </w:rPr>
        <w:t xml:space="preserve">Teaching Prescriptive Analytics as Decision Thinking:</w:t>
      </w:r>
    </w:p>
    <w:p>
      <w:pPr>
        <w:spacing w:before="0" w:after="240" w:line="276"/>
        <w:jc w:val="center"/>
      </w:pPr>
      <w:r>
        <w:rPr>
          <w:rFonts w:ascii="Times New Roman" w:cs="Times New Roman" w:eastAsia="Times New Roman" w:hAnsi="Times New Roman"/>
          <w:b/>
          <w:bCs/>
          <w:i w:val="false"/>
          <w:iCs w:val="false"/>
          <w:color w:val="000000"/>
          <w:sz w:val="28"/>
          <w:szCs w:val="28"/>
        </w:rPr>
        <w:t xml:space="preserve">A Course Design Framework Integrating Generative AI as a Required Pedagogical Tool</w:t>
      </w:r>
    </w:p>
    <w:p>
      <w:pPr>
        <w:spacing w:before="0" w:after="0" w:line="276"/>
        <w:jc w:val="center"/>
      </w:pPr>
      <w:r>
        <w:rPr>
          <w:rFonts w:ascii="Times New Roman" w:cs="Times New Roman" w:eastAsia="Times New Roman" w:hAnsi="Times New Roman"/>
          <w:b/>
          <w:bCs/>
          <w:i w:val="false"/>
          <w:iCs w:val="false"/>
          <w:color w:val="000000"/>
          <w:sz w:val="22"/>
          <w:szCs w:val="22"/>
        </w:rPr>
        <w:t xml:space="preserve">Scott Turner</w:t>
      </w:r>
    </w:p>
    <w:p>
      <w:pPr>
        <w:spacing w:before="0" w:after="0" w:line="276"/>
        <w:jc w:val="center"/>
      </w:pPr>
      <w:r>
        <w:rPr>
          <w:rFonts w:ascii="Times New Roman" w:cs="Times New Roman" w:eastAsia="Times New Roman" w:hAnsi="Times New Roman"/>
          <w:b w:val="false"/>
          <w:bCs w:val="false"/>
          <w:i w:val="false"/>
          <w:iCs w:val="false"/>
          <w:color w:val="000000"/>
          <w:sz w:val="22"/>
          <w:szCs w:val="22"/>
        </w:rPr>
        <w:t xml:space="preserve">School of Professional and Continuing Studies, University of Richmond</w:t>
      </w:r>
    </w:p>
    <w:p>
      <w:pPr>
        <w:spacing w:before="0" w:after="240" w:line="276"/>
        <w:jc w:val="center"/>
      </w:pPr>
      <w:r>
        <w:rPr>
          <w:rFonts w:ascii="Times New Roman" w:cs="Times New Roman" w:eastAsia="Times New Roman" w:hAnsi="Times New Roman"/>
          <w:b w:val="false"/>
          <w:bCs w:val="false"/>
          <w:i/>
          <w:iCs/>
          <w:color w:val="000000"/>
          <w:sz w:val="22"/>
          <w:szCs w:val="22"/>
        </w:rPr>
        <w:t xml:space="preserve">sturner@richmond.edu</w:t>
      </w:r>
    </w:p>
    <w:p>
      <w:pPr>
        <w:pBdr>
          <w:bottom w:val="single" w:color="AAAAAA" w:sz="4"/>
        </w:pBdr>
        <w:spacing w:before="40" w:after="40" w:line="276"/>
      </w:pPr>
      <w:r>
        <w:t xml:space="preserve"/>
      </w:r>
    </w:p>
    <w:p>
      <w:pPr>
        <w:spacing w:before="200" w:after="80" w:line="276"/>
        <w:jc w:val="center"/>
      </w:pPr>
      <w:r>
        <w:rPr>
          <w:rFonts w:ascii="Times New Roman" w:cs="Times New Roman" w:eastAsia="Times New Roman" w:hAnsi="Times New Roman"/>
          <w:b/>
          <w:bCs/>
          <w:i w:val="false"/>
          <w:iCs w:val="false"/>
          <w:color w:val="000000"/>
          <w:sz w:val="22"/>
          <w:szCs w:val="22"/>
        </w:rPr>
        <w:t xml:space="preserve">ABSTRACT</w:t>
      </w:r>
    </w:p>
    <w:p>
      <w:pPr>
        <w:spacing w:before="80" w:after="80" w:line="276"/>
        <w:ind w:left="720"/>
        <w:jc w:val="both"/>
      </w:pPr>
      <w:r>
        <w:rPr>
          <w:rFonts w:ascii="Times New Roman" w:cs="Times New Roman" w:eastAsia="Times New Roman" w:hAnsi="Times New Roman"/>
          <w:b w:val="false"/>
          <w:bCs w:val="false"/>
          <w:i w:val="false"/>
          <w:iCs w:val="false"/>
          <w:color w:val="000000"/>
          <w:sz w:val="22"/>
          <w:szCs w:val="22"/>
        </w:rPr>
        <w:t xml:space="preserve">Despite the growing prevalence of analytics in organizational decision-making, prescriptive analytics—the branch of analytics focused on recommending optimal actions—remains underrepresented in IS course offerings. Most IS programs address descriptive and predictive analytics, but rarely close the continuum with a course explicitly dedicated to optimization and decision support. Simultaneously, the arrival of capable generative AI (GenAI) tools has disrupted technical education, and the field's response has been largely defensive: academic integrity policies, detection tools, and AI-use restrictions. This paper takes a different stance. It presents the design of ISYS 320U, a prescriptive analytics course developed for working adult learners in a professional and continuing studies program, built around two interlocking design principles: a decision-thinking-first pedagogical sequence and a model of generative AI as a required, integrated co-pilot throughout laboratory work. Rather than treating GenAI as a threat to be managed, the course treats it as a practitioner-aligned tool that students must learn to use purposefully and critically. The course structure, GenAI integration model, assessment design, and pedagogical rationale are described in detail as a replicable framework for IS educators seeking to close the analytics continuum and prepare students for a professional environment in which AI-assisted analysis is the norm.</w:t>
      </w:r>
    </w:p>
    <w:p>
      <w:pPr>
        <w:spacing w:before="80" w:after="200" w:line="276"/>
        <w:ind w:left="720"/>
        <w:jc w:val="both"/>
      </w:pPr>
      <w:r>
        <w:rPr>
          <w:rFonts w:ascii="Times New Roman" w:cs="Times New Roman" w:eastAsia="Times New Roman" w:hAnsi="Times New Roman"/>
          <w:b w:val="false"/>
          <w:bCs w:val="false"/>
          <w:i/>
          <w:iCs/>
          <w:color w:val="000000"/>
          <w:sz w:val="20"/>
          <w:szCs w:val="20"/>
        </w:rPr>
        <w:t xml:space="preserve">Keywords: prescriptive analytics, generative AI, IS curriculum, decision analytics, continuing education, optimization pedagogy, working adult learners</w:t>
      </w:r>
    </w:p>
    <w:p>
      <w:pPr>
        <w:pBdr>
          <w:bottom w:val="single" w:color="AAAAAA" w:sz="4"/>
        </w:pBdr>
        <w:spacing w:before="40" w:after="40" w:line="276"/>
      </w:pPr>
      <w:r>
        <w:t xml:space="preserve"/>
      </w:r>
    </w:p>
    <w:p>
      <w:pPr>
        <w:pStyle w:val="Heading1"/>
        <w:spacing w:before="300" w:after="120" w:line="276"/>
      </w:pPr>
      <w:r>
        <w:rPr>
          <w:rFonts w:ascii="Times New Roman" w:cs="Times New Roman" w:eastAsia="Times New Roman" w:hAnsi="Times New Roman"/>
          <w:b/>
          <w:bCs/>
          <w:color w:val="000000"/>
          <w:sz w:val="26"/>
          <w:szCs w:val="26"/>
        </w:rPr>
        <w:t xml:space="preserve">1. Introduction</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Organizations generate more data than ever before, yet the promise of analytics is not simply better reporting—it is better decisions. The analytics continuum, widely cited in both academic and practitioner literature, spans three tiers: descriptive analytics (what happened?), predictive analytics (what is likely to happen?), and prescriptive analytics (what should we do about it?). While the first two tiers have received substantial attention in IS curriculum design, the third remains a conspicuous gap. IS programs that lack a dedicated prescriptive analytics course leave graduates equipped to describe trends and forecast outcomes, but unprepared to formulate optimal responses to the problems those insights reveal.</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absence of prescriptive analytics from IS curricula is not merely an academic gap. Optimization models—linear programs, network flow models, scheduling algorithms, and simulation-based decision support tools—are embedded in supply chain management, workforce planning, revenue optimization, healthcare operations, and dozens of other domains where IS professionals work. A graduate who cannot recognize, formulate, interpret, or communicate an optimization-based recommendation is missing a consequential competency.</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Equally significant is the transformation underway in how technical work is performed. Generative AI tools, including large language models such as ChatGPT, Claude, Gemini, and others, have become capable collaborators for code generation, problem structuring, and result interpretation. The professional environment that students will enter does not prohibit these tools—it expects fluency with them. Yet IS education's dominant response has been reactive: policies restricting AI use, tools for detecting AI-generated text, and assignment designs aimed at circumventing AI rather than working alongside it. This defensive posture, while understandable, risks producing graduates who are unprepared for the working environment they will actually inhabit.</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This paper presents the design of ISYS 320U, a prescriptive analytics course developed for the School of Professional and Continuing Studies (SPCS) at the University of Richmond. The course makes two interconnected contributions to IS education practice. First, it introduces a </w:t>
      </w:r>
      <w:r>
        <w:rPr>
          <w:rFonts w:ascii="Times New Roman" w:cs="Times New Roman" w:eastAsia="Times New Roman" w:hAnsi="Times New Roman"/>
          <w:b w:val="false"/>
          <w:bCs w:val="false"/>
          <w:i/>
          <w:iCs/>
          <w:color w:val="000000"/>
          <w:sz w:val="22"/>
          <w:szCs w:val="22"/>
        </w:rPr>
        <w:t xml:space="preserve">decision-thinking-first</w:t>
      </w:r>
      <w:r>
        <w:rPr>
          <w:rFonts w:ascii="Times New Roman" w:cs="Times New Roman" w:eastAsia="Times New Roman" w:hAnsi="Times New Roman"/>
          <w:b w:val="false"/>
          <w:bCs w:val="false"/>
          <w:i w:val="false"/>
          <w:iCs w:val="false"/>
          <w:color w:val="000000"/>
          <w:sz w:val="22"/>
          <w:szCs w:val="22"/>
        </w:rPr>
        <w:t xml:space="preserve"> pedagogical sequence, structuring the course around the reasoning process behind optimization before introducing algorithms or code. Second, it describes a model of </w:t>
      </w:r>
      <w:r>
        <w:rPr>
          <w:rFonts w:ascii="Times New Roman" w:cs="Times New Roman" w:eastAsia="Times New Roman" w:hAnsi="Times New Roman"/>
          <w:b w:val="false"/>
          <w:bCs w:val="false"/>
          <w:i/>
          <w:iCs/>
          <w:color w:val="000000"/>
          <w:sz w:val="22"/>
          <w:szCs w:val="22"/>
        </w:rPr>
        <w:t xml:space="preserve">generative AI as a required co-pilot</w:t>
      </w:r>
      <w:r>
        <w:rPr>
          <w:rFonts w:ascii="Times New Roman" w:cs="Times New Roman" w:eastAsia="Times New Roman" w:hAnsi="Times New Roman"/>
          <w:b w:val="false"/>
          <w:bCs w:val="false"/>
          <w:i w:val="false"/>
          <w:iCs w:val="false"/>
          <w:color w:val="000000"/>
          <w:sz w:val="22"/>
          <w:szCs w:val="22"/>
        </w:rPr>
        <w:t xml:space="preserve">—not a supplementary aid or a prohibited shortcut, but a structured and purposeful component of laboratory work throughout the course. Together, these principles address the needs of non-traditional learners: working adults who bring organizational experience and decision-making context but varied technical backgrounds.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remainder of this paper proceeds as follows. Section 2 reviews related work on prescriptive analytics in IS curricula and the integration of generative AI in IS education, identifying the gap this course addresses. Section 3 describes the course's design philosophy and target learner population. Section 4 details the generative AI integration model. Section 5 presents the course structure and content. Section 6 discusses implications for IS educators and directions for future research. Section 7 concludes.</w:t>
      </w:r>
    </w:p>
    <w:p>
      <w:pPr>
        <w:pStyle w:val="Heading1"/>
        <w:spacing w:before="300" w:after="120" w:line="276"/>
      </w:pPr>
      <w:r>
        <w:rPr>
          <w:rFonts w:ascii="Times New Roman" w:cs="Times New Roman" w:eastAsia="Times New Roman" w:hAnsi="Times New Roman"/>
          <w:b/>
          <w:bCs/>
          <w:color w:val="000000"/>
          <w:sz w:val="26"/>
          <w:szCs w:val="26"/>
        </w:rPr>
        <w:t xml:space="preserve">2. Background and Related Work</w:t>
      </w:r>
    </w:p>
    <w:p>
      <w:pPr>
        <w:pStyle w:val="Heading2"/>
        <w:spacing w:before="200" w:after="80" w:line="276"/>
      </w:pPr>
      <w:r>
        <w:rPr>
          <w:rFonts w:ascii="Times New Roman" w:cs="Times New Roman" w:eastAsia="Times New Roman" w:hAnsi="Times New Roman"/>
          <w:b/>
          <w:bCs/>
          <w:color w:val="000000"/>
          <w:sz w:val="22"/>
          <w:szCs w:val="22"/>
        </w:rPr>
        <w:t xml:space="preserve">2.1 The Analytics Continuum and IS Curricula</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analytics continuum is well established in both the academic and practitioner literature. Chen, Chiang, and Storey (2012) provided an early and influential framing of business intelligence and analytics as encompassing reporting, query, and analysis (roughly, descriptive analytics) alongside data mining and predictive modeling. Davenport and Harris (2007) popularized the idea that organizations could gain competitive advantage through analytical sophistication. More recent treatments distinguish three tiers—descriptive, predictive, and prescriptive—as the standard framing, with prescriptive analytics understood to encompass optimization, simulation, and AI-driven recommendation systems (Ransbotham et al., 2017).</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Despite this recognition, the IS2020 Model Curriculum, the most recent authoritative guide to undergraduate IS program design, addresses the analytics continuum broadly but does not specify a prescriptive analytics course as a curricular requirement (Topi et al., 2020). Published IS education literature reflects this gap. A review of recent ISCAP, ISEDJ, and JISE papers reveals a substantial body of work on data analytics course design (Bhatnagar et al., 2024), business intelligence courses, data mining pedagogy, and visualization-focused curricula. Prescriptive analytics—as a distinct course focused on optimization-based decision support—is largely absent from this literature. The discipline most likely to publish on optimization pedagogy is operations research and management science, where teaching linear programming, integer programming, and simulation has a long tradition (Winston, 2004). However, those papers address a fundamentally different student population, typically quantitatively oriented undergraduates in management science or industrial engineering programs.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non-traditional learner context of a professional and continuing studies program introduces additional considerations. Working adult students typically bring meaningful organizational experience, which provides fertile context for decision problems, but may not bring recent exposure to mathematical formalism or programming. Courses designed for traditional undergraduates—whether in OR or IS—are often poorly matched to this population.</w:t>
      </w:r>
    </w:p>
    <w:p>
      <w:pPr>
        <w:pStyle w:val="Heading2"/>
        <w:spacing w:before="200" w:after="80" w:line="276"/>
      </w:pPr>
      <w:r>
        <w:rPr>
          <w:rFonts w:ascii="Times New Roman" w:cs="Times New Roman" w:eastAsia="Times New Roman" w:hAnsi="Times New Roman"/>
          <w:b/>
          <w:bCs/>
          <w:color w:val="000000"/>
          <w:sz w:val="22"/>
          <w:szCs w:val="22"/>
        </w:rPr>
        <w:t xml:space="preserve">2.2 Generative AI in IS Education</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arrival of capable generative AI tools, particularly following the public release of ChatGPT in late 2022, has generated substantial attention in IS education. Early responses focused on academic integrity implications: concerns about AI-generated assignments, detection strategies, and honor code policies (Lo, 2023). More recent work has shifted toward asking how AI should be integrated into IS instruction, including as a subject of study and as a pedagogical aid.</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Within the ISCAP community specifically, the 2025 proceedings reflect a growing body of work on GenAI in analytics education. Papers have addressed using GenAI-augmented platforms for data mining instruction, integrating critical thinking with ChatGPT in business analytics courses, and teaching database concepts through AI prompt engineering. The 2025 conference call for participation explicitly identified "AI in Analytics" as an invited focus area—a signal that the community is actively seeking course-level design contributions in this space.</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Kasneci et al. (2023) offer a useful framework for thinking about GenAI in education, identifying both risks—over-reliance, reduced development of foundational skills—and opportunities—personalized scaffolding, immediate feedback, lowered barriers to complex tasks. Their analysis suggests that the key design variable is not whether AI is permitted, but how its use is structured and what cognitive work remains the student's responsibility.</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A critical observation from the existing literature is that most published work treats GenAI as a </w:t>
      </w:r>
      <w:r>
        <w:rPr>
          <w:rFonts w:ascii="Times New Roman" w:cs="Times New Roman" w:eastAsia="Times New Roman" w:hAnsi="Times New Roman"/>
          <w:b w:val="false"/>
          <w:bCs w:val="false"/>
          <w:i/>
          <w:iCs/>
          <w:color w:val="000000"/>
          <w:sz w:val="22"/>
          <w:szCs w:val="22"/>
        </w:rPr>
        <w:t xml:space="preserve">subject</w:t>
      </w:r>
      <w:r>
        <w:rPr>
          <w:rFonts w:ascii="Times New Roman" w:cs="Times New Roman" w:eastAsia="Times New Roman" w:hAnsi="Times New Roman"/>
          <w:b w:val="false"/>
          <w:bCs w:val="false"/>
          <w:i w:val="false"/>
          <w:iCs w:val="false"/>
          <w:color w:val="000000"/>
          <w:sz w:val="22"/>
          <w:szCs w:val="22"/>
        </w:rPr>
        <w:t xml:space="preserve"> being taught (what is generative AI? how does it work? what are its implications?) or as a </w:t>
      </w:r>
      <w:r>
        <w:rPr>
          <w:rFonts w:ascii="Times New Roman" w:cs="Times New Roman" w:eastAsia="Times New Roman" w:hAnsi="Times New Roman"/>
          <w:b w:val="false"/>
          <w:bCs w:val="false"/>
          <w:i/>
          <w:iCs/>
          <w:color w:val="000000"/>
          <w:sz w:val="22"/>
          <w:szCs w:val="22"/>
        </w:rPr>
        <w:t xml:space="preserve">threat</w:t>
      </w:r>
      <w:r>
        <w:rPr>
          <w:rFonts w:ascii="Times New Roman" w:cs="Times New Roman" w:eastAsia="Times New Roman" w:hAnsi="Times New Roman"/>
          <w:b w:val="false"/>
          <w:bCs w:val="false"/>
          <w:i w:val="false"/>
          <w:iCs w:val="false"/>
          <w:color w:val="000000"/>
          <w:sz w:val="22"/>
          <w:szCs w:val="22"/>
        </w:rPr>
        <w:t xml:space="preserve"> to be managed (academic integrity, detection, policy). Very little work describes GenAI as a </w:t>
      </w:r>
      <w:r>
        <w:rPr>
          <w:rFonts w:ascii="Times New Roman" w:cs="Times New Roman" w:eastAsia="Times New Roman" w:hAnsi="Times New Roman"/>
          <w:b w:val="false"/>
          <w:bCs w:val="false"/>
          <w:i/>
          <w:iCs/>
          <w:color w:val="000000"/>
          <w:sz w:val="22"/>
          <w:szCs w:val="22"/>
        </w:rPr>
        <w:t xml:space="preserve">required structural tool</w:t>
      </w:r>
      <w:r>
        <w:rPr>
          <w:rFonts w:ascii="Times New Roman" w:cs="Times New Roman" w:eastAsia="Times New Roman" w:hAnsi="Times New Roman"/>
          <w:b w:val="false"/>
          <w:bCs w:val="false"/>
          <w:i w:val="false"/>
          <w:iCs w:val="false"/>
          <w:color w:val="000000"/>
          <w:sz w:val="22"/>
          <w:szCs w:val="22"/>
        </w:rPr>
        <w:t xml:space="preserve"> built into the fabric of a technical course's lab assignments—where students are expected to use it fluently, purposefully, and critically as part of their analytical workflow.</w:t>
      </w:r>
    </w:p>
    <w:p>
      <w:pPr>
        <w:pStyle w:val="Heading2"/>
        <w:spacing w:before="200" w:after="80" w:line="276"/>
      </w:pPr>
      <w:r>
        <w:rPr>
          <w:rFonts w:ascii="Times New Roman" w:cs="Times New Roman" w:eastAsia="Times New Roman" w:hAnsi="Times New Roman"/>
          <w:b/>
          <w:bCs/>
          <w:color w:val="000000"/>
          <w:sz w:val="22"/>
          <w:szCs w:val="22"/>
        </w:rPr>
        <w:t xml:space="preserve">2.3 The Gap This Course Addresses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intersection of these two observations defines the contribution of this paper. There is no published IS education work specifically addressing: (1) the design of a standalone prescriptive analytics course, (2) for a non-traditional learner population, (3) in which generative AI is a required, integrated component of laboratory work. The course described here occupies that intersection and offers a replicable framework for IS educators seeking to address it.</w:t>
      </w:r>
    </w:p>
    <w:p>
      <w:pPr>
        <w:pStyle w:val="Heading1"/>
        <w:spacing w:before="300" w:after="120" w:line="276"/>
      </w:pPr>
      <w:r>
        <w:rPr>
          <w:rFonts w:ascii="Times New Roman" w:cs="Times New Roman" w:eastAsia="Times New Roman" w:hAnsi="Times New Roman"/>
          <w:b/>
          <w:bCs/>
          <w:color w:val="000000"/>
          <w:sz w:val="26"/>
          <w:szCs w:val="26"/>
        </w:rPr>
        <w:t xml:space="preserve">3. Course Design Philosophy</w:t>
      </w:r>
    </w:p>
    <w:p>
      <w:pPr>
        <w:pStyle w:val="Heading2"/>
        <w:spacing w:before="200" w:after="80" w:line="276"/>
      </w:pPr>
      <w:r>
        <w:rPr>
          <w:rFonts w:ascii="Times New Roman" w:cs="Times New Roman" w:eastAsia="Times New Roman" w:hAnsi="Times New Roman"/>
          <w:b/>
          <w:bCs/>
          <w:color w:val="000000"/>
          <w:sz w:val="22"/>
          <w:szCs w:val="22"/>
        </w:rPr>
        <w:t xml:space="preserve">3.1 Target Learner Population</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ISYS 320U is offered through the School of Professional and Continuing Studies at the University of Richmond, a program serving primarily working adult students pursuing undergraduate degrees while managing professional and personal responsibilities. This population differs from the traditional 18-22 year old undergraduate in several important ways. Students typically bring substantive organizational experience—they have worked in environments where decisions about staffing, inventory, scheduling, and resource allocation are made regularly. This experience is a pedagogical asset: optimization problems are not abstract to these students; they have encountered the phenomena the models describe.</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At the same time, many returning adult learners have not engaged with mathematics, statistics, or programming in years. A course design that leads with mathematical formalism or algorithm-first instruction risks losing students before they reach the concepts that would be most valuable to them. The course is delivered fully online, with synchronous sessions via Zoom, which requires particular attention to clarity of explanation, self-directed pacing, and accessible multimedia resources.</w:t>
      </w:r>
    </w:p>
    <w:p>
      <w:pPr>
        <w:pStyle w:val="Heading2"/>
        <w:spacing w:before="200" w:after="80" w:line="276"/>
      </w:pPr>
      <w:r>
        <w:rPr>
          <w:rFonts w:ascii="Times New Roman" w:cs="Times New Roman" w:eastAsia="Times New Roman" w:hAnsi="Times New Roman"/>
          <w:b/>
          <w:bCs/>
          <w:color w:val="000000"/>
          <w:sz w:val="22"/>
          <w:szCs w:val="22"/>
        </w:rPr>
        <w:t xml:space="preserve">3.2 The Decision-Thinking-First Approach</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central pedagogical commitment of ISYS 320U is a </w:t>
      </w:r>
      <w:r>
        <w:rPr>
          <w:rFonts w:ascii="Times New Roman" w:cs="Times New Roman" w:eastAsia="Times New Roman" w:hAnsi="Times New Roman"/>
          <w:b w:val="false"/>
          <w:bCs w:val="false"/>
          <w:i/>
          <w:iCs/>
          <w:color w:val="000000"/>
          <w:sz w:val="22"/>
          <w:szCs w:val="22"/>
        </w:rPr>
        <w:t xml:space="preserve">decision-thinking-first</w:t>
      </w:r>
      <w:r>
        <w:rPr>
          <w:rFonts w:ascii="Times New Roman" w:cs="Times New Roman" w:eastAsia="Times New Roman" w:hAnsi="Times New Roman"/>
          <w:b w:val="false"/>
          <w:bCs w:val="false"/>
          <w:i w:val="false"/>
          <w:iCs w:val="false"/>
          <w:color w:val="000000"/>
          <w:sz w:val="22"/>
          <w:szCs w:val="22"/>
        </w:rPr>
        <w:t xml:space="preserve"> sequence: the course begins not with optimization algorithms or Python syntax, but with the structure of a decision problem. Before a student opens a coding environment, they must be able to answer four foundational questions about any decision they are asked to model:</w:t>
      </w:r>
    </w:p>
    <w:p>
      <w:pPr>
        <w:pStyle w:val="ListParagraph"/>
        <w:numPr>
          <w:ilvl w:val="0"/>
          <w:numId w:val="1"/>
        </w:numPr>
        <w:spacing w:before="40" w:after="40" w:line="276"/>
        <w:ind w:left="720" w:hanging="360"/>
      </w:pPr>
      <w:r>
        <w:rPr>
          <w:rFonts w:ascii="Times New Roman" w:cs="Times New Roman" w:eastAsia="Times New Roman" w:hAnsi="Times New Roman"/>
          <w:sz w:val="22"/>
          <w:szCs w:val="22"/>
        </w:rPr>
        <w:t xml:space="preserve"> What choice must be made, and over what quantities does the decision-maker have control? (decision variables)</w:t>
      </w:r>
    </w:p>
    <w:p>
      <w:pPr>
        <w:pStyle w:val="ListParagraph"/>
        <w:numPr>
          <w:ilvl w:val="0"/>
          <w:numId w:val="1"/>
        </w:numPr>
        <w:spacing w:before="40" w:after="40" w:line="276"/>
        <w:ind w:left="720" w:hanging="360"/>
      </w:pPr>
      <w:r>
        <w:rPr>
          <w:rFonts w:ascii="Times New Roman" w:cs="Times New Roman" w:eastAsia="Times New Roman" w:hAnsi="Times New Roman"/>
          <w:sz w:val="22"/>
          <w:szCs w:val="22"/>
        </w:rPr>
        <w:t xml:space="preserve"> What outcome defines success, and how can it be measured? (objective function)</w:t>
      </w:r>
    </w:p>
    <w:p>
      <w:pPr>
        <w:pStyle w:val="ListParagraph"/>
        <w:numPr>
          <w:ilvl w:val="0"/>
          <w:numId w:val="1"/>
        </w:numPr>
        <w:spacing w:before="40" w:after="40" w:line="276"/>
        <w:ind w:left="720" w:hanging="360"/>
      </w:pPr>
      <w:r>
        <w:rPr>
          <w:rFonts w:ascii="Times New Roman" w:cs="Times New Roman" w:eastAsia="Times New Roman" w:hAnsi="Times New Roman"/>
          <w:sz w:val="22"/>
          <w:szCs w:val="22"/>
        </w:rPr>
        <w:t xml:space="preserve"> What limits constrain the available choices? (constraints)</w:t>
      </w:r>
    </w:p>
    <w:p>
      <w:pPr>
        <w:pStyle w:val="ListParagraph"/>
        <w:numPr>
          <w:ilvl w:val="0"/>
          <w:numId w:val="1"/>
        </w:numPr>
        <w:spacing w:before="40" w:after="40" w:line="276"/>
        <w:ind w:left="720" w:hanging="360"/>
      </w:pPr>
      <w:r>
        <w:rPr>
          <w:rFonts w:ascii="Times New Roman" w:cs="Times New Roman" w:eastAsia="Times New Roman" w:hAnsi="Times New Roman"/>
          <w:sz w:val="22"/>
          <w:szCs w:val="22"/>
        </w:rPr>
        <w:t xml:space="preserve"> What tradeoffs are unavoidable given those limits? (tradeoffs)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This sequence is grounded in a pedagogically important distinction that most technical courses skip: the difference between a </w:t>
      </w:r>
      <w:r>
        <w:rPr>
          <w:rFonts w:ascii="Times New Roman" w:cs="Times New Roman" w:eastAsia="Times New Roman" w:hAnsi="Times New Roman"/>
          <w:b w:val="false"/>
          <w:bCs w:val="false"/>
          <w:i/>
          <w:iCs/>
          <w:color w:val="000000"/>
          <w:sz w:val="22"/>
          <w:szCs w:val="22"/>
        </w:rPr>
        <w:t xml:space="preserve">prediction</w:t>
      </w:r>
      <w:r>
        <w:rPr>
          <w:rFonts w:ascii="Times New Roman" w:cs="Times New Roman" w:eastAsia="Times New Roman" w:hAnsi="Times New Roman"/>
          <w:b w:val="false"/>
          <w:bCs w:val="false"/>
          <w:i w:val="false"/>
          <w:iCs w:val="false"/>
          <w:color w:val="000000"/>
          <w:sz w:val="22"/>
          <w:szCs w:val="22"/>
        </w:rPr>
        <w:t xml:space="preserve"> and a </w:t>
      </w:r>
      <w:r>
        <w:rPr>
          <w:rFonts w:ascii="Times New Roman" w:cs="Times New Roman" w:eastAsia="Times New Roman" w:hAnsi="Times New Roman"/>
          <w:b w:val="false"/>
          <w:bCs w:val="false"/>
          <w:i/>
          <w:iCs/>
          <w:color w:val="000000"/>
          <w:sz w:val="22"/>
          <w:szCs w:val="22"/>
        </w:rPr>
        <w:t xml:space="preserve">decision</w:t>
      </w:r>
      <w:r>
        <w:rPr>
          <w:rFonts w:ascii="Times New Roman" w:cs="Times New Roman" w:eastAsia="Times New Roman" w:hAnsi="Times New Roman"/>
          <w:b w:val="false"/>
          <w:bCs w:val="false"/>
          <w:i w:val="false"/>
          <w:iCs w:val="false"/>
          <w:color w:val="000000"/>
          <w:sz w:val="22"/>
          <w:szCs w:val="22"/>
        </w:rPr>
        <w:t xml:space="preserve">. Predictions estimate what may happen. Decisions choose actions. Prescriptive analytics is fundamentally a decision science, and students who conflate inputs with decision variables, or objectives with constraints, will produce structurally broken models regardless of their coding proficiency. The course invests significant early time in developing this conceptual clarity.</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decision-thinking-first approach also recognizes that the hardest part of applied optimization is rarely the computation. Given a well-formulated model, modern solvers—and modern AI tools—handle the computation reliably. The hard part is the formulation: correctly identifying what the decision-maker controls, what the real objective is (which may differ from what stakeholders say it is), and which constraints are binding versus aspirational. These are judgment skills, not algorithmic skills, and they require deliberate cultivation.</w:t>
      </w:r>
    </w:p>
    <w:p>
      <w:pPr>
        <w:pStyle w:val="Heading2"/>
        <w:spacing w:before="200" w:after="80" w:line="276"/>
      </w:pPr>
      <w:r>
        <w:rPr>
          <w:rFonts w:ascii="Times New Roman" w:cs="Times New Roman" w:eastAsia="Times New Roman" w:hAnsi="Times New Roman"/>
          <w:b/>
          <w:bCs/>
          <w:color w:val="000000"/>
          <w:sz w:val="22"/>
          <w:szCs w:val="22"/>
        </w:rPr>
        <w:t xml:space="preserve">3.3 Python as the Implementation Platform</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course uses Python as its computational environment, with Jupyter Notebooks accessed via Google Colab. The choice of Python over the more commonly used Microsoft Excel/Solver combination in introductory optimization courses reflects several considerations. First, Python is the dominant language in professional analytics environments; students learning Python are building a transferable skill. Second, Python's optimization libraries—including PuLP, SciPy, and SimPy for simulation—expose the model structure explicitly, requiring students to articulate objective functions and constraints as code rather than filling in worksheet cells. This explicit articulation reinforces the conceptual work done in earlier modules. Third, Python integrates naturally with the AI-augmented workflow described in Section 4, as GenAI tools are highly capable Python collaborators.</w:t>
      </w:r>
    </w:p>
    <w:p>
      <w:pPr>
        <w:pStyle w:val="Heading1"/>
        <w:spacing w:before="300" w:after="120" w:line="276"/>
      </w:pPr>
      <w:r>
        <w:rPr>
          <w:rFonts w:ascii="Times New Roman" w:cs="Times New Roman" w:eastAsia="Times New Roman" w:hAnsi="Times New Roman"/>
          <w:b/>
          <w:bCs/>
          <w:color w:val="000000"/>
          <w:sz w:val="26"/>
          <w:szCs w:val="26"/>
        </w:rPr>
        <w:t xml:space="preserve">4. Generative AI as a Required Pedagogical Tool</w:t>
      </w:r>
    </w:p>
    <w:p>
      <w:pPr>
        <w:pStyle w:val="Heading2"/>
        <w:spacing w:before="200" w:after="80" w:line="276"/>
      </w:pPr>
      <w:r>
        <w:rPr>
          <w:rFonts w:ascii="Times New Roman" w:cs="Times New Roman" w:eastAsia="Times New Roman" w:hAnsi="Times New Roman"/>
          <w:b/>
          <w:bCs/>
          <w:color w:val="000000"/>
          <w:sz w:val="22"/>
          <w:szCs w:val="22"/>
        </w:rPr>
        <w:t xml:space="preserve">4.1 Pedagogical Rationale</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course's stance on generative AI is explicit and deliberate: GenAI tools are required for laboratory assignments, not prohibited. This position rests on two premises. First, the professional environment students will enter uses these tools routinely. An IS professional who has never learned to use GenAI as a collaborative analytical partner is at a disadvantage in the current labor market. Second, and more importantly, the cognitive work that matters most in prescriptive analytics—problem framing, constraint identification, model evaluation, and stakeholder communication—is precisely the work that GenAI cannot do reliably without significant human guidance. Outsourcing that work to AI is not just inadvisable; it produces models that are structurally wrong or practically useless. The course is designed so that GenAI is most useful to students who understand the decision problem deeply, and least useful to those who do not.</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course integrates multiple GenAI platforms, including the University of Richmond's institutional AI tool (SpiderAI), Claude, ChatGPT, DeepSeek, Grok, and Gemini. Exposure to multiple platforms is intentional: students should understand that these tools differ in capability and disposition, and should not develop a single-tool dependency.</w:t>
      </w:r>
    </w:p>
    <w:p>
      <w:pPr>
        <w:pStyle w:val="Heading2"/>
        <w:spacing w:before="200" w:after="80" w:line="276"/>
      </w:pPr>
      <w:r>
        <w:rPr>
          <w:rFonts w:ascii="Times New Roman" w:cs="Times New Roman" w:eastAsia="Times New Roman" w:hAnsi="Times New Roman"/>
          <w:b/>
          <w:bCs/>
          <w:color w:val="000000"/>
          <w:sz w:val="22"/>
          <w:szCs w:val="22"/>
        </w:rPr>
        <w:t xml:space="preserve">4.2 Three Roles of Generative AI in the Course</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Generative AI plays three distinct roles in the course's laboratory assignments:</w:t>
      </w:r>
    </w:p>
    <w:p>
      <w:pPr>
        <w:spacing w:before="80" w:after="80" w:line="276"/>
        <w:jc w:val="both"/>
      </w:pPr>
      <w:r>
        <w:rPr>
          <w:rFonts w:ascii="Times New Roman" w:cs="Times New Roman" w:eastAsia="Times New Roman" w:hAnsi="Times New Roman"/>
          <w:b/>
          <w:bCs/>
          <w:i w:val="false"/>
          <w:iCs w:val="false"/>
          <w:color w:val="000000"/>
          <w:sz w:val="22"/>
          <w:szCs w:val="22"/>
        </w:rPr>
        <w:t xml:space="preserve">Role 1: Model Formulation Scaffolding. </w:t>
      </w:r>
      <w:r>
        <w:rPr>
          <w:rFonts w:ascii="Times New Roman" w:cs="Times New Roman" w:eastAsia="Times New Roman" w:hAnsi="Times New Roman"/>
          <w:b w:val="false"/>
          <w:bCs w:val="false"/>
          <w:i w:val="false"/>
          <w:iCs w:val="false"/>
          <w:color w:val="000000"/>
          <w:sz w:val="22"/>
          <w:szCs w:val="22"/>
        </w:rPr>
        <w:t xml:space="preserve">Students are presented with business scenarios and asked to formulate them as optimization problems before writing code. GenAI can be used as a sounding board for this formulation work—but only after the student has attempted it independently. A typical lab prompt asks students to draft their decision variables, objective, and constraints in plain language, then engage an AI tool to critique, question, or extend their formulation. The AI's role is Socratic: it reveals gaps in the student's thinking rather than substituting for it. This usage pattern requires students to have enough conceptual grounding to evaluate whether the AI's feedback is correct—an application of the course's foundational decision-thinking framework.</w:t>
      </w:r>
    </w:p>
    <w:p>
      <w:pPr>
        <w:spacing w:before="80" w:after="80" w:line="276"/>
        <w:jc w:val="both"/>
      </w:pPr>
      <w:r>
        <w:rPr>
          <w:rFonts w:ascii="Times New Roman" w:cs="Times New Roman" w:eastAsia="Times New Roman" w:hAnsi="Times New Roman"/>
          <w:b/>
          <w:bCs/>
          <w:i w:val="false"/>
          <w:iCs w:val="false"/>
          <w:color w:val="000000"/>
          <w:sz w:val="22"/>
          <w:szCs w:val="22"/>
        </w:rPr>
        <w:t xml:space="preserve">Role 2: Code Generation and Debugging. </w:t>
      </w:r>
      <w:r>
        <w:rPr>
          <w:rFonts w:ascii="Times New Roman" w:cs="Times New Roman" w:eastAsia="Times New Roman" w:hAnsi="Times New Roman"/>
          <w:b w:val="false"/>
          <w:bCs w:val="false"/>
          <w:i w:val="false"/>
          <w:iCs w:val="false"/>
          <w:color w:val="000000"/>
          <w:sz w:val="22"/>
          <w:szCs w:val="22"/>
        </w:rPr>
        <w:t xml:space="preserve">Once a model is formulated, students use GenAI to assist in translating that formulation into Python optimization code. This mirrors professional practice: practitioners use AI to accelerate code production but must understand the model well enough to recognize when the generated code does not correctly represent their intentions. Students are explicitly taught to read and verify AI-generated code, not simply to run it. Assessment design (see Section 4.3) is aligned with this expectation.</w:t>
      </w:r>
    </w:p>
    <w:p>
      <w:pPr>
        <w:spacing w:before="80" w:after="80" w:line="276"/>
        <w:jc w:val="both"/>
      </w:pPr>
      <w:r>
        <w:rPr>
          <w:rFonts w:ascii="Times New Roman" w:cs="Times New Roman" w:eastAsia="Times New Roman" w:hAnsi="Times New Roman"/>
          <w:b/>
          <w:bCs/>
          <w:i w:val="false"/>
          <w:iCs w:val="false"/>
          <w:color w:val="000000"/>
          <w:sz w:val="22"/>
          <w:szCs w:val="22"/>
        </w:rPr>
        <w:t xml:space="preserve">Role 3: Results Interpretation and Communication. </w:t>
      </w:r>
      <w:r>
        <w:rPr>
          <w:rFonts w:ascii="Times New Roman" w:cs="Times New Roman" w:eastAsia="Times New Roman" w:hAnsi="Times New Roman"/>
          <w:b w:val="false"/>
          <w:bCs w:val="false"/>
          <w:i w:val="false"/>
          <w:iCs w:val="false"/>
          <w:color w:val="000000"/>
          <w:sz w:val="22"/>
          <w:szCs w:val="22"/>
        </w:rPr>
        <w:t xml:space="preserve">Optimization models produce outputs—optimal values, binding constraints, shadow prices, dual variables—that must be translated into business language for stakeholders who may not have quantitative backgrounds. GenAI is an effective collaborator for this translation task. Students are asked to use AI to help draft plain-language summaries of their model results, then critically review and revise those summaries for accuracy and appropriateness. This develops both communication skill and the evaluative judgment to know when an AI-generated interpretation has missed the point.</w:t>
      </w:r>
    </w:p>
    <w:p>
      <w:pPr>
        <w:pStyle w:val="Heading2"/>
        <w:spacing w:before="200" w:after="80" w:line="276"/>
      </w:pPr>
      <w:r>
        <w:rPr>
          <w:rFonts w:ascii="Times New Roman" w:cs="Times New Roman" w:eastAsia="Times New Roman" w:hAnsi="Times New Roman"/>
          <w:b/>
          <w:bCs/>
          <w:color w:val="000000"/>
          <w:sz w:val="22"/>
          <w:szCs w:val="22"/>
        </w:rPr>
        <w:t xml:space="preserve">4.3 Assessment Design in an AI-Integrated Environment</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Allowing—indeed requiring—GenAI in lab assignments necessitates a shift in assessment philosophy. If the objective were merely to produce correct optimization code, GenAI would trivially satisfy that objective, and assessment would be meaningless. Assessment in ISYS 320U is therefore focused on the layers of cognition that GenAI cannot reliably substitute: problem framing, model critique, and decision explanation.</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Lab assignments require students to (1) document their independent problem formulation before AI engagement, (2) annotate AI-generated code explaining each component in their own words, and (3) provide a managerial interpretation of results that addresses real-world constraints the model may not have captured. Discussion forums ask students to reflect on situations where AI assistance was misleading or insufficient and what human judgment was required to correct it. Project assessments involve novel problem scenarios where students must argue for design choices that no AI tool would be asked to make. These assessment strategies privilege judgment, explanation, and critical evaluation—competencies that remain genuinely human in the current state of AI capability.</w:t>
      </w:r>
    </w:p>
    <w:p>
      <w:pPr>
        <w:pStyle w:val="Heading1"/>
        <w:spacing w:before="300" w:after="120" w:line="276"/>
      </w:pPr>
      <w:r>
        <w:rPr>
          <w:rFonts w:ascii="Times New Roman" w:cs="Times New Roman" w:eastAsia="Times New Roman" w:hAnsi="Times New Roman"/>
          <w:b/>
          <w:bCs/>
          <w:color w:val="000000"/>
          <w:sz w:val="26"/>
          <w:szCs w:val="26"/>
        </w:rPr>
        <w:t xml:space="preserve">5. Course Structure and Content</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ISYS 320U spans 15 weeks and is organized around 11 lessons. The progression is deliberate: conceptual foundations come first, followed by increasingly complex optimization methods, and concluding with uncertainty, simulation, and the integration of AI as an optimization tool itself. Table 1 presents the lesson structure.</w:t>
      </w:r>
    </w:p>
    <w:p>
      <w:pPr>
        <w:spacing w:before="160" w:after="80" w:line="276"/>
        <w:jc w:val="center"/>
      </w:pPr>
      <w:r>
        <w:rPr>
          <w:rFonts w:ascii="Times New Roman" w:cs="Times New Roman" w:eastAsia="Times New Roman" w:hAnsi="Times New Roman"/>
          <w:b/>
          <w:bCs/>
          <w:sz w:val="22"/>
          <w:szCs w:val="22"/>
        </w:rPr>
        <w:t xml:space="preserve">Table 1. ISYS 320U 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rPr>
          <w:tblHeader/>
        </w:trPr>
        <w:tc>
          <w:tcPr>
            <w:tcW w:type="dxa" w:w="7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before="40" w:after="40" w:line="276"/>
            </w:pPr>
            <w:r>
              <w:rPr>
                <w:rFonts w:ascii="Times New Roman" w:cs="Times New Roman" w:eastAsia="Times New Roman" w:hAnsi="Times New Roman"/>
                <w:b/>
                <w:bCs/>
                <w:color w:val="FFFFFF"/>
                <w:sz w:val="22"/>
                <w:szCs w:val="22"/>
              </w:rPr>
              <w:t xml:space="preserve">Lesson</w:t>
            </w:r>
          </w:p>
        </w:tc>
        <w:tc>
          <w:tcPr>
            <w:tcW w:type="dxa" w:w="32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before="40" w:after="40" w:line="276"/>
            </w:pPr>
            <w:r>
              <w:rPr>
                <w:rFonts w:ascii="Times New Roman" w:cs="Times New Roman" w:eastAsia="Times New Roman" w:hAnsi="Times New Roman"/>
                <w:b/>
                <w:bCs/>
                <w:color w:val="FFFFFF"/>
                <w:sz w:val="22"/>
                <w:szCs w:val="22"/>
              </w:rPr>
              <w:t xml:space="preserve">Title</w:t>
            </w:r>
          </w:p>
        </w:tc>
        <w:tc>
          <w:tcPr>
            <w:tcW w:type="dxa" w:w="5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before="40" w:after="40" w:line="276"/>
            </w:pPr>
            <w:r>
              <w:rPr>
                <w:rFonts w:ascii="Times New Roman" w:cs="Times New Roman" w:eastAsia="Times New Roman" w:hAnsi="Times New Roman"/>
                <w:b/>
                <w:bCs/>
                <w:color w:val="FFFFFF"/>
                <w:sz w:val="22"/>
                <w:szCs w:val="22"/>
              </w:rPr>
              <w:t xml:space="preserve">Key Concepts</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jc w:val="center"/>
            </w:pPr>
            <w:r>
              <w:rPr>
                <w:rFonts w:ascii="Times New Roman" w:cs="Times New Roman" w:eastAsia="Times New Roman" w:hAnsi="Times New Roman"/>
                <w:sz w:val="22"/>
                <w:szCs w:val="22"/>
              </w:rPr>
              <w:t xml:space="preserve">1</w:t>
            </w:r>
          </w:p>
        </w:tc>
        <w:tc>
          <w:tcPr>
            <w:tcW w:type="dxa" w:w="32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b/>
                <w:bCs/>
                <w:sz w:val="22"/>
                <w:szCs w:val="22"/>
              </w:rPr>
              <w:t xml:space="preserve">Prescriptive Analytics as Decision Thinking</w:t>
            </w:r>
          </w:p>
        </w:tc>
        <w:tc>
          <w:tcPr>
            <w:tcW w:type="dxa" w:w="5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sz w:val="20"/>
                <w:szCs w:val="20"/>
              </w:rPr>
              <w:t xml:space="preserve">The analytics continuum; decisions vs. predictions; decision variables, objectives, constraints, tradeoffs; human judgment in AI-assisted decision-making</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jc w:val="center"/>
            </w:pPr>
            <w:r>
              <w:rPr>
                <w:rFonts w:ascii="Times New Roman" w:cs="Times New Roman" w:eastAsia="Times New Roman" w:hAnsi="Times New Roman"/>
                <w:sz w:val="22"/>
                <w:szCs w:val="22"/>
              </w:rPr>
              <w:t xml:space="preserve">2</w:t>
            </w:r>
          </w:p>
        </w:tc>
        <w:tc>
          <w:tcPr>
            <w:tcW w:type="dxa" w:w="32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b/>
                <w:bCs/>
                <w:sz w:val="22"/>
                <w:szCs w:val="22"/>
              </w:rPr>
              <w:t xml:space="preserve">Decision Framing and Business Reality</w:t>
            </w:r>
          </w:p>
        </w:tc>
        <w:tc>
          <w:tcPr>
            <w:tcW w:type="dxa" w:w="5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sz w:val="20"/>
                <w:szCs w:val="20"/>
              </w:rPr>
              <w:t xml:space="preserve">Translating business problems into formal decision structures; identifying what is and is not controllable; well-formed decision statements; input vs. decision variable distinction</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jc w:val="center"/>
            </w:pPr>
            <w:r>
              <w:rPr>
                <w:rFonts w:ascii="Times New Roman" w:cs="Times New Roman" w:eastAsia="Times New Roman" w:hAnsi="Times New Roman"/>
                <w:sz w:val="22"/>
                <w:szCs w:val="22"/>
              </w:rPr>
              <w:t xml:space="preserve">3</w:t>
            </w:r>
          </w:p>
        </w:tc>
        <w:tc>
          <w:tcPr>
            <w:tcW w:type="dxa" w:w="32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b/>
                <w:bCs/>
                <w:sz w:val="22"/>
                <w:szCs w:val="22"/>
              </w:rPr>
              <w:t xml:space="preserve">Optimization Intuition for Managers</w:t>
            </w:r>
          </w:p>
        </w:tc>
        <w:tc>
          <w:tcPr>
            <w:tcW w:type="dxa" w:w="5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sz w:val="20"/>
                <w:szCs w:val="20"/>
              </w:rPr>
              <w:t xml:space="preserve">Conceptual foundations without formalism; graphical interpretation; feasibility and infeasibility; binding constraints; the nature of optimality</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jc w:val="center"/>
            </w:pPr>
            <w:r>
              <w:rPr>
                <w:rFonts w:ascii="Times New Roman" w:cs="Times New Roman" w:eastAsia="Times New Roman" w:hAnsi="Times New Roman"/>
                <w:sz w:val="22"/>
                <w:szCs w:val="22"/>
              </w:rPr>
              <w:t xml:space="preserve">4</w:t>
            </w:r>
          </w:p>
        </w:tc>
        <w:tc>
          <w:tcPr>
            <w:tcW w:type="dxa" w:w="32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b/>
                <w:bCs/>
                <w:sz w:val="22"/>
                <w:szCs w:val="22"/>
              </w:rPr>
              <w:t xml:space="preserve">Linear Optimization Fundamentals</w:t>
            </w:r>
          </w:p>
        </w:tc>
        <w:tc>
          <w:tcPr>
            <w:tcW w:type="dxa" w:w="5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sz w:val="20"/>
                <w:szCs w:val="20"/>
              </w:rPr>
              <w:t xml:space="preserve">Linear programming formulation; the simplex method conceptually; PuLP in Python; interpreting solver output; model validation</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jc w:val="center"/>
            </w:pPr>
            <w:r>
              <w:rPr>
                <w:rFonts w:ascii="Times New Roman" w:cs="Times New Roman" w:eastAsia="Times New Roman" w:hAnsi="Times New Roman"/>
                <w:sz w:val="22"/>
                <w:szCs w:val="22"/>
              </w:rPr>
              <w:t xml:space="preserve">5</w:t>
            </w:r>
          </w:p>
        </w:tc>
        <w:tc>
          <w:tcPr>
            <w:tcW w:type="dxa" w:w="32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b/>
                <w:bCs/>
                <w:sz w:val="22"/>
                <w:szCs w:val="22"/>
              </w:rPr>
              <w:t xml:space="preserve">Sensitivity and What-If Analysis</w:t>
            </w:r>
          </w:p>
        </w:tc>
        <w:tc>
          <w:tcPr>
            <w:tcW w:type="dxa" w:w="5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sz w:val="20"/>
                <w:szCs w:val="20"/>
              </w:rPr>
              <w:t xml:space="preserve">Shadow prices and dual variables; ranging analysis; the economic interpretation of constraints; communicating sensitivity results to non-technical stakeholders</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jc w:val="center"/>
            </w:pPr>
            <w:r>
              <w:rPr>
                <w:rFonts w:ascii="Times New Roman" w:cs="Times New Roman" w:eastAsia="Times New Roman" w:hAnsi="Times New Roman"/>
                <w:sz w:val="22"/>
                <w:szCs w:val="22"/>
              </w:rPr>
              <w:t xml:space="preserve">6</w:t>
            </w:r>
          </w:p>
        </w:tc>
        <w:tc>
          <w:tcPr>
            <w:tcW w:type="dxa" w:w="32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b/>
                <w:bCs/>
                <w:sz w:val="22"/>
                <w:szCs w:val="22"/>
              </w:rPr>
              <w:t xml:space="preserve">Network and Flow Decisions</w:t>
            </w:r>
          </w:p>
        </w:tc>
        <w:tc>
          <w:tcPr>
            <w:tcW w:type="dxa" w:w="5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sz w:val="20"/>
                <w:szCs w:val="20"/>
              </w:rPr>
              <w:t xml:space="preserve">Transportation and assignment models; network flow as a special case of linear programming; shortest path and minimum spanning tree; applications in logistics and staffing</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jc w:val="center"/>
            </w:pPr>
            <w:r>
              <w:rPr>
                <w:rFonts w:ascii="Times New Roman" w:cs="Times New Roman" w:eastAsia="Times New Roman" w:hAnsi="Times New Roman"/>
                <w:sz w:val="22"/>
                <w:szCs w:val="22"/>
              </w:rPr>
              <w:t xml:space="preserve">7</w:t>
            </w:r>
          </w:p>
        </w:tc>
        <w:tc>
          <w:tcPr>
            <w:tcW w:type="dxa" w:w="32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b/>
                <w:bCs/>
                <w:sz w:val="22"/>
                <w:szCs w:val="22"/>
              </w:rPr>
              <w:t xml:space="preserve">Integer and Binary Decisions</w:t>
            </w:r>
          </w:p>
        </w:tc>
        <w:tc>
          <w:tcPr>
            <w:tcW w:type="dxa" w:w="5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sz w:val="20"/>
                <w:szCs w:val="20"/>
              </w:rPr>
              <w:t xml:space="preserve">Integer linear programming; binary decision variables; capital budgeting and project selection models; computational complexity intuition</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jc w:val="center"/>
            </w:pPr>
            <w:r>
              <w:rPr>
                <w:rFonts w:ascii="Times New Roman" w:cs="Times New Roman" w:eastAsia="Times New Roman" w:hAnsi="Times New Roman"/>
                <w:sz w:val="22"/>
                <w:szCs w:val="22"/>
              </w:rPr>
              <w:t xml:space="preserve">8</w:t>
            </w:r>
          </w:p>
        </w:tc>
        <w:tc>
          <w:tcPr>
            <w:tcW w:type="dxa" w:w="32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b/>
                <w:bCs/>
                <w:sz w:val="22"/>
                <w:szCs w:val="22"/>
              </w:rPr>
              <w:t xml:space="preserve">Scheduling and Multi-Period Models</w:t>
            </w:r>
          </w:p>
        </w:tc>
        <w:tc>
          <w:tcPr>
            <w:tcW w:type="dxa" w:w="5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sz w:val="20"/>
                <w:szCs w:val="20"/>
              </w:rPr>
              <w:t xml:space="preserve">Multi-period optimization; workforce scheduling; production planning; rolling horizon approaches</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jc w:val="center"/>
            </w:pPr>
            <w:r>
              <w:rPr>
                <w:rFonts w:ascii="Times New Roman" w:cs="Times New Roman" w:eastAsia="Times New Roman" w:hAnsi="Times New Roman"/>
                <w:sz w:val="22"/>
                <w:szCs w:val="22"/>
              </w:rPr>
              <w:t xml:space="preserve">9</w:t>
            </w:r>
          </w:p>
        </w:tc>
        <w:tc>
          <w:tcPr>
            <w:tcW w:type="dxa" w:w="32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b/>
                <w:bCs/>
                <w:sz w:val="22"/>
                <w:szCs w:val="22"/>
              </w:rPr>
              <w:t xml:space="preserve">Nonlinear and Heuristic Methods</w:t>
            </w:r>
          </w:p>
        </w:tc>
        <w:tc>
          <w:tcPr>
            <w:tcW w:type="dxa" w:w="5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sz w:val="20"/>
                <w:szCs w:val="20"/>
              </w:rPr>
              <w:t xml:space="preserve">When linear assumptions fail; nonlinear programming basics; genetic algorithms and simulated annealing as heuristics; using AI tools for heuristic exploration</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jc w:val="center"/>
            </w:pPr>
            <w:r>
              <w:rPr>
                <w:rFonts w:ascii="Times New Roman" w:cs="Times New Roman" w:eastAsia="Times New Roman" w:hAnsi="Times New Roman"/>
                <w:sz w:val="22"/>
                <w:szCs w:val="22"/>
              </w:rPr>
              <w:t xml:space="preserve">10</w:t>
            </w:r>
          </w:p>
        </w:tc>
        <w:tc>
          <w:tcPr>
            <w:tcW w:type="dxa" w:w="32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b/>
                <w:bCs/>
                <w:sz w:val="22"/>
                <w:szCs w:val="22"/>
              </w:rPr>
              <w:t xml:space="preserve">Decision-Making Under Uncertainty</w:t>
            </w:r>
          </w:p>
        </w:tc>
        <w:tc>
          <w:tcPr>
            <w:tcW w:type="dxa" w:w="5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sz w:val="20"/>
                <w:szCs w:val="20"/>
              </w:rPr>
              <w:t xml:space="preserve">Stochastic optimization concepts; scenario planning; expected value of perfect information; robust optimization intuition</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jc w:val="center"/>
            </w:pPr>
            <w:r>
              <w:rPr>
                <w:rFonts w:ascii="Times New Roman" w:cs="Times New Roman" w:eastAsia="Times New Roman" w:hAnsi="Times New Roman"/>
                <w:sz w:val="22"/>
                <w:szCs w:val="22"/>
              </w:rPr>
              <w:t xml:space="preserve">11</w:t>
            </w:r>
          </w:p>
        </w:tc>
        <w:tc>
          <w:tcPr>
            <w:tcW w:type="dxa" w:w="32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b/>
                <w:bCs/>
                <w:sz w:val="22"/>
                <w:szCs w:val="22"/>
              </w:rPr>
              <w:t xml:space="preserve">Simulation as Prescriptive Analytics</w:t>
            </w:r>
          </w:p>
        </w:tc>
        <w:tc>
          <w:tcPr>
            <w:tcW w:type="dxa" w:w="5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before="40" w:after="40" w:line="276"/>
            </w:pPr>
            <w:r>
              <w:rPr>
                <w:rFonts w:ascii="Times New Roman" w:cs="Times New Roman" w:eastAsia="Times New Roman" w:hAnsi="Times New Roman"/>
                <w:sz w:val="20"/>
                <w:szCs w:val="20"/>
              </w:rPr>
              <w:t xml:space="preserve">Monte Carlo simulation; discrete-event simulation with SimPy; integrating simulation with optimization; AI as an optimization engine</w:t>
            </w:r>
          </w:p>
        </w:tc>
      </w:tr>
    </w:tbl>
    <w:p>
      <w:pPr>
        <w:spacing w:before="160" w:after="80" w:line="276"/>
        <w:jc w:val="both"/>
      </w:pP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Assessments are distributed across five categories: laboratory homework (20%), discussion forum contributions (20%), module quizzes (10%), a midterm project (20%), a final project (20%), and a final project presentation (10%). The midterm and final projects require students to identify an optimization problem from their own professional context or from a provided dataset, formulate and solve the model, and present results to a non-technical audience. This capstone structure reinforces the course's emphasis on decision framing and managerial communication alongside technical execution.</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Instructional delivery is multimodal. Each lesson includes slide-based lecture content, instructor-narrated slide recordings, supplemental audio podcasts providing conceptual explanation independent of formal mathematics, and Python-based Jupyter notebooks hosted on Google Colab. The podcast format was specifically designed for working adult learners who benefit from being able to engage with conceptual material during commutes or other non-screen time. The textbook, Van Der Post's (2023) </w:t>
      </w:r>
      <w:r>
        <w:rPr>
          <w:rFonts w:ascii="Times New Roman" w:cs="Times New Roman" w:eastAsia="Times New Roman" w:hAnsi="Times New Roman"/>
          <w:b w:val="false"/>
          <w:bCs w:val="false"/>
          <w:i/>
          <w:iCs/>
          <w:color w:val="000000"/>
          <w:sz w:val="22"/>
          <w:szCs w:val="22"/>
        </w:rPr>
        <w:t xml:space="preserve">Prescriptive Analytics: Prescribe with Python</w:t>
      </w:r>
      <w:r>
        <w:rPr>
          <w:rFonts w:ascii="Times New Roman" w:cs="Times New Roman" w:eastAsia="Times New Roman" w:hAnsi="Times New Roman"/>
          <w:b w:val="false"/>
          <w:bCs w:val="false"/>
          <w:i w:val="false"/>
          <w:iCs w:val="false"/>
          <w:color w:val="000000"/>
          <w:sz w:val="22"/>
          <w:szCs w:val="22"/>
        </w:rPr>
        <w:t xml:space="preserve">, provides technical reference aligned with the Python-first approach.</w:t>
      </w:r>
    </w:p>
    <w:p>
      <w:pPr>
        <w:pStyle w:val="Heading1"/>
        <w:spacing w:before="300" w:after="120" w:line="276"/>
      </w:pPr>
      <w:r>
        <w:rPr>
          <w:rFonts w:ascii="Times New Roman" w:cs="Times New Roman" w:eastAsia="Times New Roman" w:hAnsi="Times New Roman"/>
          <w:b/>
          <w:bCs/>
          <w:color w:val="000000"/>
          <w:sz w:val="26"/>
          <w:szCs w:val="26"/>
        </w:rPr>
        <w:t xml:space="preserve">6. Discussion and Implications for IS Educators</w:t>
      </w:r>
    </w:p>
    <w:p>
      <w:pPr>
        <w:pStyle w:val="Heading2"/>
        <w:spacing w:before="200" w:after="80" w:line="276"/>
      </w:pPr>
      <w:r>
        <w:rPr>
          <w:rFonts w:ascii="Times New Roman" w:cs="Times New Roman" w:eastAsia="Times New Roman" w:hAnsi="Times New Roman"/>
          <w:b/>
          <w:bCs/>
          <w:color w:val="000000"/>
          <w:sz w:val="22"/>
          <w:szCs w:val="22"/>
        </w:rPr>
        <w:t xml:space="preserve">6.1 Replicability of the Framework</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design principles underlying ISYS 320U are not institution-specific. The decision-thinking-first approach is a pedagogical stance that any IS instructor can adopt: it requires no special tools, only a deliberate commitment to sequencing conceptual grounding before technical execution. Similarly, the three-role GenAI integration model—formulation scaffolding, code generation, and results interpretation—can be adapted to courses using different platforms, different programming languages, or different optimization topics. The core design variable is the assessment alignment: ensuring that what students are graded on requires the human judgment that GenAI cannot supply.</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IS programs that currently offer descriptive or predictive analytics courses, or that are developing analytics concentrations, may find this framework useful as a template for closing the prescriptive analytics gap in their curriculum. The course also suggests a possible sequencing for analytics programs: descriptive analytics as a foundation, predictive analytics as a second course, and prescriptive analytics as the capstone of the analytics continuum.</w:t>
      </w:r>
    </w:p>
    <w:p>
      <w:pPr>
        <w:pStyle w:val="Heading2"/>
        <w:spacing w:before="200" w:after="80" w:line="276"/>
      </w:pPr>
      <w:r>
        <w:rPr>
          <w:rFonts w:ascii="Times New Roman" w:cs="Times New Roman" w:eastAsia="Times New Roman" w:hAnsi="Times New Roman"/>
          <w:b/>
          <w:bCs/>
          <w:color w:val="000000"/>
          <w:sz w:val="22"/>
          <w:szCs w:val="22"/>
        </w:rPr>
        <w:t xml:space="preserve">6.2 The AI-Native Classroom</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A broader implication of this course's design is the emergence of what might be called the </w:t>
      </w:r>
      <w:r>
        <w:rPr>
          <w:rFonts w:ascii="Times New Roman" w:cs="Times New Roman" w:eastAsia="Times New Roman" w:hAnsi="Times New Roman"/>
          <w:b w:val="false"/>
          <w:bCs w:val="false"/>
          <w:i/>
          <w:iCs/>
          <w:color w:val="000000"/>
          <w:sz w:val="22"/>
          <w:szCs w:val="22"/>
        </w:rPr>
        <w:t xml:space="preserve">AI-native classroom</w:t>
      </w:r>
      <w:r>
        <w:rPr>
          <w:rFonts w:ascii="Times New Roman" w:cs="Times New Roman" w:eastAsia="Times New Roman" w:hAnsi="Times New Roman"/>
          <w:b w:val="false"/>
          <w:bCs w:val="false"/>
          <w:i w:val="false"/>
          <w:iCs w:val="false"/>
          <w:color w:val="000000"/>
          <w:sz w:val="22"/>
          <w:szCs w:val="22"/>
        </w:rPr>
        <w:t xml:space="preserve">: an instructional environment in which AI tools are assumed to be present, and where the curriculum is designed around that assumption rather than against it. The course described here represents one instantiation of this model in a technical IS context. Designing an AI-native classroom does not mean reducing rigor—it means relocating rigor to the layers of cognition that AI cannot substitute. In prescriptive analytics, those layers are problem framing, model evaluation, and decision communication. In other IS courses, the equivalent cognitive layers will differ, but the design logic is transferable.</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This framing suggests a potential reorientation of the academic integrity debate. Rather than asking "how do we prevent students from using AI?"—a question that becomes increasingly difficult to answer as AI tools become more capable and pervasive—the more productive question may be "what does the student need to understand that AI cannot understand for them?" Curriculum and assessment design that answers this question clearly will be more robust to technological change than policies based on AI restriction.</w:t>
      </w:r>
    </w:p>
    <w:p>
      <w:pPr>
        <w:pStyle w:val="Heading2"/>
        <w:spacing w:before="200" w:after="80" w:line="276"/>
      </w:pPr>
      <w:r>
        <w:rPr>
          <w:rFonts w:ascii="Times New Roman" w:cs="Times New Roman" w:eastAsia="Times New Roman" w:hAnsi="Times New Roman"/>
          <w:b/>
          <w:bCs/>
          <w:color w:val="000000"/>
          <w:sz w:val="22"/>
          <w:szCs w:val="22"/>
        </w:rPr>
        <w:t xml:space="preserve">6.3 Limitations and Future Work</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This paper presents a course design, not an empirical study of its outcomes. The evidence for the framework's effectiveness is at this stage primarily theoretical and reflective: it rests on pedagogical reasoning, alignment with professional practice norms, and the design's internal coherence rather than on controlled outcome data. Rigorous assessment of whether students in this course outperform students in traditionally structured prescriptive analytics courses—or whether the GenAI integration model produces better communication skills, better model formulation ability, or better long-term retention—remains as future work.</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Additionally, the course has been developed for a specific institutional context: a professional and continuing studies program serving working adult learners. Generalizing the design to traditional undergraduate populations, graduate programs, or other institutional types warrants further investigation. Some design choices—the podcast format, the emphasis on professional problem contexts, the tolerance for mathematical informality in early modules—may need to be adapted for different populations.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Future research directions include: (1) pre/post assessment of model formulation skill across AI-integrated and traditional lab designs; (2) longitudinal tracking of students' AI tool use patterns as they develop expertise; (3) comparison of student performance on managerial communication tasks with and without AI assistance; and (4) investigation of how the course's decision-thinking-first framework transfers to other analytics and IS courses.</w:t>
      </w:r>
    </w:p>
    <w:p>
      <w:pPr>
        <w:pStyle w:val="Heading1"/>
        <w:spacing w:before="300" w:after="120" w:line="276"/>
      </w:pPr>
      <w:r>
        <w:rPr>
          <w:rFonts w:ascii="Times New Roman" w:cs="Times New Roman" w:eastAsia="Times New Roman" w:hAnsi="Times New Roman"/>
          <w:b/>
          <w:bCs/>
          <w:color w:val="000000"/>
          <w:sz w:val="26"/>
          <w:szCs w:val="26"/>
        </w:rPr>
        <w:t xml:space="preserve">7. Conclusion</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analytics continuum ends with prescriptive analytics—the capability to recommend optimal actions, not merely to describe or predict. Yet this final step in the continuum is the one most absent from IS curricula, and the one for which the arrival of powerful generative AI tools creates both new opportunities and new design challenges. This paper has presented a course design that addresses both the curricular gap and the AI challenge in a single integrated framework.</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decision-thinking-first approach establishes that the cognitive foundation of prescriptive analytics is not computation—it is judgment: the ability to frame a decision correctly, identify what is and is not controllable, and evaluate whether a model's output makes real-world sense. Generative AI tools accelerate computation and code production, but they do not supply judgment. A course built around judgment development is therefore not undermined by AI capability—it is, if anything, made more important by it.</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ISYS 320U suggests that IS educators need not choose between technical rigor and AI-native pedagogy. The choice, rather, is about where rigor lives. The course described here locates rigor where it has always mattered most in decision analytics: not in the mechanics of the solver, but in the quality of the thinking that instructs it.</w:t>
      </w:r>
    </w:p>
    <w:p>
      <w:pPr>
        <w:pStyle w:val="Heading1"/>
        <w:spacing w:before="300" w:after="120" w:line="276"/>
      </w:pPr>
      <w:r>
        <w:rPr>
          <w:rFonts w:ascii="Times New Roman" w:cs="Times New Roman" w:eastAsia="Times New Roman" w:hAnsi="Times New Roman"/>
          <w:b/>
          <w:bCs/>
          <w:color w:val="000000"/>
          <w:sz w:val="26"/>
          <w:szCs w:val="26"/>
        </w:rPr>
        <w:t xml:space="preserve">References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Bhatnagar, N., Causer, V., Lucci, M., Pry, M., &amp; Zilic, D. (2024). Developing a data analytics practicum course. </w:t>
      </w:r>
      <w:r>
        <w:rPr>
          <w:rFonts w:ascii="Times New Roman" w:cs="Times New Roman" w:eastAsia="Times New Roman" w:hAnsi="Times New Roman"/>
          <w:b w:val="false"/>
          <w:bCs w:val="false"/>
          <w:i/>
          <w:iCs/>
          <w:color w:val="000000"/>
          <w:sz w:val="22"/>
          <w:szCs w:val="22"/>
        </w:rPr>
        <w:t xml:space="preserve">Information Systems Education Journal, 22</w:t>
      </w:r>
      <w:r>
        <w:rPr>
          <w:rFonts w:ascii="Times New Roman" w:cs="Times New Roman" w:eastAsia="Times New Roman" w:hAnsi="Times New Roman"/>
          <w:b w:val="false"/>
          <w:bCs w:val="false"/>
          <w:i w:val="false"/>
          <w:iCs w:val="false"/>
          <w:color w:val="000000"/>
          <w:sz w:val="22"/>
          <w:szCs w:val="22"/>
        </w:rPr>
        <w:t xml:space="preserve">(2), 47–69.</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Chen, H., Chiang, R. H. L., &amp; Storey, V. C. (2012). Business intelligence and analytics: From big data to big impact. </w:t>
      </w:r>
      <w:r>
        <w:rPr>
          <w:rFonts w:ascii="Times New Roman" w:cs="Times New Roman" w:eastAsia="Times New Roman" w:hAnsi="Times New Roman"/>
          <w:b w:val="false"/>
          <w:bCs w:val="false"/>
          <w:i/>
          <w:iCs/>
          <w:color w:val="000000"/>
          <w:sz w:val="22"/>
          <w:szCs w:val="22"/>
        </w:rPr>
        <w:t xml:space="preserve">MIS Quarterly, 36</w:t>
      </w:r>
      <w:r>
        <w:rPr>
          <w:rFonts w:ascii="Times New Roman" w:cs="Times New Roman" w:eastAsia="Times New Roman" w:hAnsi="Times New Roman"/>
          <w:b w:val="false"/>
          <w:bCs w:val="false"/>
          <w:i w:val="false"/>
          <w:iCs w:val="false"/>
          <w:color w:val="000000"/>
          <w:sz w:val="22"/>
          <w:szCs w:val="22"/>
        </w:rPr>
        <w:t xml:space="preserve">(4), 1165–1188.</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Davenport, T. H., &amp; Harris, J. G. (2007). </w:t>
      </w:r>
      <w:r>
        <w:rPr>
          <w:rFonts w:ascii="Times New Roman" w:cs="Times New Roman" w:eastAsia="Times New Roman" w:hAnsi="Times New Roman"/>
          <w:b w:val="false"/>
          <w:bCs w:val="false"/>
          <w:i/>
          <w:iCs/>
          <w:color w:val="000000"/>
          <w:sz w:val="22"/>
          <w:szCs w:val="22"/>
        </w:rPr>
        <w:t xml:space="preserve">Competing on analytics: The new science of winning</w:t>
      </w:r>
      <w:r>
        <w:rPr>
          <w:rFonts w:ascii="Times New Roman" w:cs="Times New Roman" w:eastAsia="Times New Roman" w:hAnsi="Times New Roman"/>
          <w:b w:val="false"/>
          <w:bCs w:val="false"/>
          <w:i w:val="false"/>
          <w:iCs w:val="false"/>
          <w:color w:val="000000"/>
          <w:sz w:val="22"/>
          <w:szCs w:val="22"/>
        </w:rPr>
        <w:t xml:space="preserve">. Harvard Business Press.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Kasneci, E., Seßler, K., Küchemann, S., Bannert, M., Dementieva, D., Fischer, F., Gasser, U., Groh, G., Günnemann, S., Hüllermeier, E., Krusche, S., Kutyniok, G., Michaeli, T., Nerdel, C., Pfeffer, J., Poquet, O., Sailer, M., Schmidt, A., Seidel, T., . . . Kasneci, G. (2023). ChatGPT for good? On opportunities and challenges of large language models for education. </w:t>
      </w:r>
      <w:r>
        <w:rPr>
          <w:rFonts w:ascii="Times New Roman" w:cs="Times New Roman" w:eastAsia="Times New Roman" w:hAnsi="Times New Roman"/>
          <w:b w:val="false"/>
          <w:bCs w:val="false"/>
          <w:i/>
          <w:iCs/>
          <w:color w:val="000000"/>
          <w:sz w:val="22"/>
          <w:szCs w:val="22"/>
        </w:rPr>
        <w:t xml:space="preserve">Learning and Individual Differences, 103</w:t>
      </w:r>
      <w:r>
        <w:rPr>
          <w:rFonts w:ascii="Times New Roman" w:cs="Times New Roman" w:eastAsia="Times New Roman" w:hAnsi="Times New Roman"/>
          <w:b w:val="false"/>
          <w:bCs w:val="false"/>
          <w:i w:val="false"/>
          <w:iCs w:val="false"/>
          <w:color w:val="000000"/>
          <w:sz w:val="22"/>
          <w:szCs w:val="22"/>
        </w:rPr>
        <w:t xml:space="preserve">, 102274.</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Lo, C. K. (2023). What is the impact of ChatGPT on education? A rapid review of the literature. </w:t>
      </w:r>
      <w:r>
        <w:rPr>
          <w:rFonts w:ascii="Times New Roman" w:cs="Times New Roman" w:eastAsia="Times New Roman" w:hAnsi="Times New Roman"/>
          <w:b w:val="false"/>
          <w:bCs w:val="false"/>
          <w:i/>
          <w:iCs/>
          <w:color w:val="000000"/>
          <w:sz w:val="22"/>
          <w:szCs w:val="22"/>
        </w:rPr>
        <w:t xml:space="preserve">Education Sciences, 13</w:t>
      </w:r>
      <w:r>
        <w:rPr>
          <w:rFonts w:ascii="Times New Roman" w:cs="Times New Roman" w:eastAsia="Times New Roman" w:hAnsi="Times New Roman"/>
          <w:b w:val="false"/>
          <w:bCs w:val="false"/>
          <w:i w:val="false"/>
          <w:iCs w:val="false"/>
          <w:color w:val="000000"/>
          <w:sz w:val="22"/>
          <w:szCs w:val="22"/>
        </w:rPr>
        <w:t xml:space="preserve">(4), 410.</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Ransbotham, S., Kiron, D., Gerbert, P., &amp; Reeves, M. (2017). Reshaping business with artificial intelligence: Closing the gap between ambition and action. </w:t>
      </w:r>
      <w:r>
        <w:rPr>
          <w:rFonts w:ascii="Times New Roman" w:cs="Times New Roman" w:eastAsia="Times New Roman" w:hAnsi="Times New Roman"/>
          <w:b w:val="false"/>
          <w:bCs w:val="false"/>
          <w:i/>
          <w:iCs/>
          <w:color w:val="000000"/>
          <w:sz w:val="22"/>
          <w:szCs w:val="22"/>
        </w:rPr>
        <w:t xml:space="preserve">MIT Sloan Management Review, 59</w:t>
      </w:r>
      <w:r>
        <w:rPr>
          <w:rFonts w:ascii="Times New Roman" w:cs="Times New Roman" w:eastAsia="Times New Roman" w:hAnsi="Times New Roman"/>
          <w:b w:val="false"/>
          <w:bCs w:val="false"/>
          <w:i w:val="false"/>
          <w:iCs w:val="false"/>
          <w:color w:val="000000"/>
          <w:sz w:val="22"/>
          <w:szCs w:val="22"/>
        </w:rPr>
        <w:t xml:space="preserve">(1), 1–17.</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Topi, H., Valacich, J. S., Wright, R. T., Kaiser, K., Nunamaker, J. F., Sipior, J. C., &amp; de Vreede, G. J. (2020). </w:t>
      </w:r>
      <w:r>
        <w:rPr>
          <w:rFonts w:ascii="Times New Roman" w:cs="Times New Roman" w:eastAsia="Times New Roman" w:hAnsi="Times New Roman"/>
          <w:b w:val="false"/>
          <w:bCs w:val="false"/>
          <w:i/>
          <w:iCs/>
          <w:color w:val="000000"/>
          <w:sz w:val="22"/>
          <w:szCs w:val="22"/>
        </w:rPr>
        <w:t xml:space="preserve">IS2020: A competency model for undergraduate programs in information systems</w:t>
      </w:r>
      <w:r>
        <w:rPr>
          <w:rFonts w:ascii="Times New Roman" w:cs="Times New Roman" w:eastAsia="Times New Roman" w:hAnsi="Times New Roman"/>
          <w:b w:val="false"/>
          <w:bCs w:val="false"/>
          <w:i w:val="false"/>
          <w:iCs w:val="false"/>
          <w:color w:val="000000"/>
          <w:sz w:val="22"/>
          <w:szCs w:val="22"/>
        </w:rPr>
        <w:t xml:space="preserve">. Association for Computing Machinery / Association for Information Systems.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Van Der Post, H. (2023). </w:t>
      </w:r>
      <w:r>
        <w:rPr>
          <w:rFonts w:ascii="Times New Roman" w:cs="Times New Roman" w:eastAsia="Times New Roman" w:hAnsi="Times New Roman"/>
          <w:b w:val="false"/>
          <w:bCs w:val="false"/>
          <w:i/>
          <w:iCs/>
          <w:color w:val="000000"/>
          <w:sz w:val="22"/>
          <w:szCs w:val="22"/>
        </w:rPr>
        <w:t xml:space="preserve">Prescriptive analytics: Prescribe with Python</w:t>
      </w:r>
      <w:r>
        <w:rPr>
          <w:rFonts w:ascii="Times New Roman" w:cs="Times New Roman" w:eastAsia="Times New Roman" w:hAnsi="Times New Roman"/>
          <w:b w:val="false"/>
          <w:bCs w:val="false"/>
          <w:i w:val="false"/>
          <w:iCs w:val="false"/>
          <w:color w:val="000000"/>
          <w:sz w:val="22"/>
          <w:szCs w:val="22"/>
        </w:rPr>
        <w:t xml:space="preserve">. Independently published.</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Winston, W. L. (2004). </w:t>
      </w:r>
      <w:r>
        <w:rPr>
          <w:rFonts w:ascii="Times New Roman" w:cs="Times New Roman" w:eastAsia="Times New Roman" w:hAnsi="Times New Roman"/>
          <w:b w:val="false"/>
          <w:bCs w:val="false"/>
          <w:i/>
          <w:iCs/>
          <w:color w:val="000000"/>
          <w:sz w:val="22"/>
          <w:szCs w:val="22"/>
        </w:rPr>
        <w:t xml:space="preserve">Operations research: Applications and algorithms</w:t>
      </w:r>
      <w:r>
        <w:rPr>
          <w:rFonts w:ascii="Times New Roman" w:cs="Times New Roman" w:eastAsia="Times New Roman" w:hAnsi="Times New Roman"/>
          <w:b w:val="false"/>
          <w:bCs w:val="false"/>
          <w:i w:val="false"/>
          <w:iCs w:val="false"/>
          <w:color w:val="000000"/>
          <w:sz w:val="22"/>
          <w:szCs w:val="22"/>
        </w:rPr>
        <w:t xml:space="preserve"> (4th ed.). Thomson/Brooks-Cole.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76"/>
      <w:jc w:val="center"/>
    </w:pPr>
    <w:r>
      <w:rPr>
        <w:rFonts w:ascii="Times New Roman" w:cs="Times New Roman" w:eastAsia="Times New Roman" w:hAnsi="Times New Roman"/>
        <w:color w:val="595959"/>
        <w:sz w:val="18"/>
        <w:szCs w:val="18"/>
      </w:rPr>
      <w:t xml:space="preserve">2026 Proceedings of the ISCAP Conference  |  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2026-02-23T19:42:55.371Z</dcterms:created>
  <dcterms:modified xsi:type="dcterms:W3CDTF">2026-02-23T19:42:55.371Z</dcterms:modified>
</cp:coreProperties>
</file>

<file path=docProps/custom.xml><?xml version="1.0" encoding="utf-8"?>
<Properties xmlns="http://schemas.openxmlformats.org/officeDocument/2006/custom-properties" xmlns:vt="http://schemas.openxmlformats.org/officeDocument/2006/docPropsVTypes"/>
</file>