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8F58F3">
      <w:pPr>
        <w:spacing w:before="0" w:after="20" w:line="259" w:lineRule="auto"/>
        <w:jc w:val="center"/>
      </w:pPr>
      <w:r>
        <w:rPr>
          <w:rFonts w:ascii="微软雅黑" w:hAnsi="微软雅黑" w:eastAsia="微软雅黑"/>
          <w:b/>
          <w:color w:val="17365D"/>
          <w:sz w:val="38"/>
        </w:rPr>
        <w:t>A股三日舆情因果研判</w:t>
      </w:r>
    </w:p>
    <w:p w14:paraId="2A4F2388">
      <w:pPr>
        <w:spacing w:before="0" w:after="40" w:line="259" w:lineRule="auto"/>
        <w:jc w:val="center"/>
      </w:pPr>
      <w:r>
        <w:rPr>
          <w:rFonts w:ascii="微软雅黑" w:hAnsi="微软雅黑" w:eastAsia="微软雅黑"/>
          <w:b/>
          <w:color w:val="1F4E79"/>
          <w:sz w:val="22"/>
        </w:rPr>
        <w:t>事件触发、产业传导、盘面反馈与参与者证据闭环</w:t>
      </w:r>
    </w:p>
    <w:p w14:paraId="0BDC6C94">
      <w:pPr>
        <w:spacing w:before="0" w:after="80" w:line="259" w:lineRule="auto"/>
        <w:jc w:val="center"/>
      </w:pPr>
      <w:r>
        <w:rPr>
          <w:rFonts w:ascii="微软雅黑" w:hAnsi="微软雅黑" w:eastAsia="微软雅黑"/>
          <w:b w:val="0"/>
          <w:color w:val="666666"/>
          <w:sz w:val="17"/>
        </w:rPr>
        <w:t>事件窗口：2026-08-09 19:17 至 2026-08-12 19:17；盘面验证日：8月10日、8月11日、8月12日</w:t>
      </w:r>
    </w:p>
    <w:p w14:paraId="6BA3450A">
      <w:pPr>
        <w:spacing w:before="100" w:after="40" w:line="259" w:lineRule="auto"/>
      </w:pPr>
      <w:r>
        <w:rPr>
          <w:rFonts w:ascii="微软雅黑" w:hAnsi="微软雅黑" w:eastAsia="微软雅黑"/>
          <w:b/>
          <w:color w:val="1F4E79"/>
          <w:sz w:val="30"/>
        </w:rPr>
        <w:t>一、核心结论</w:t>
      </w:r>
    </w:p>
    <w:p w14:paraId="2C3CBCBF">
      <w:pPr>
        <w:spacing w:before="0" w:after="60" w:line="259" w:lineRule="auto"/>
      </w:pPr>
      <w:r>
        <w:rPr>
          <w:rFonts w:ascii="微软雅黑" w:hAnsi="微软雅黑" w:eastAsia="微软雅黑"/>
          <w:b/>
          <w:color w:val="C00000"/>
          <w:sz w:val="22"/>
        </w:rPr>
        <w:t>市场结论：8月12日全市场上涨家数3860、下跌家数1217、上涨占比76.0%，个股普涨、结构分化；达到三重证据标准的行业因果主线为0条</w:t>
      </w:r>
    </w:p>
    <w:p w14:paraId="0A135BFC">
      <w:pPr>
        <w:pStyle w:val="16"/>
        <w:spacing w:after="20" w:line="252" w:lineRule="auto"/>
      </w:pPr>
      <w:r>
        <w:rPr>
          <w:rFonts w:ascii="微软雅黑" w:hAnsi="微软雅黑" w:eastAsia="微软雅黑"/>
          <w:b w:val="0"/>
          <w:sz w:val="19"/>
        </w:rPr>
        <w:t>大盘风向：8月12日全市场上涨家数3860、下跌家数1217、上涨占比76.0%，个股普涨、结构分化；该读数已由2个独立来源交叉确认</w:t>
      </w:r>
    </w:p>
    <w:p w14:paraId="4282C32D">
      <w:pPr>
        <w:pStyle w:val="16"/>
        <w:spacing w:after="20" w:line="252" w:lineRule="auto"/>
      </w:pPr>
      <w:r>
        <w:rPr>
          <w:rFonts w:ascii="微软雅黑" w:hAnsi="微软雅黑" w:eastAsia="微软雅黑"/>
          <w:b w:val="0"/>
          <w:sz w:val="19"/>
        </w:rPr>
        <w:t>因果主线：0条达到触发事实、盘面确认与参与者确认三重标准</w:t>
      </w:r>
    </w:p>
    <w:p w14:paraId="65AB86FB">
      <w:pPr>
        <w:pStyle w:val="16"/>
        <w:spacing w:after="20" w:line="252" w:lineRule="auto"/>
      </w:pPr>
      <w:r>
        <w:rPr>
          <w:rFonts w:ascii="微软雅黑" w:hAnsi="微软雅黑" w:eastAsia="微软雅黑"/>
          <w:b w:val="0"/>
          <w:sz w:val="19"/>
        </w:rPr>
        <w:t>主事件池来自主流财经、交易复盘与机构渠道；淘股吧、雪球、微博、知乎、东方财富股吧仅作补充观察，不参与主线生成</w:t>
      </w:r>
    </w:p>
    <w:p w14:paraId="3B2C425F">
      <w:pPr>
        <w:spacing w:before="100" w:after="40" w:line="259" w:lineRule="auto"/>
      </w:pPr>
      <w:r>
        <w:rPr>
          <w:rFonts w:ascii="微软雅黑" w:hAnsi="微软雅黑" w:eastAsia="微软雅黑"/>
          <w:b/>
          <w:color w:val="1F4E79"/>
          <w:sz w:val="30"/>
        </w:rPr>
        <w:t>二、因果主线排序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7"/>
        <w:gridCol w:w="1134"/>
        <w:gridCol w:w="2438"/>
        <w:gridCol w:w="1814"/>
        <w:gridCol w:w="1814"/>
        <w:gridCol w:w="1247"/>
      </w:tblGrid>
      <w:tr w14:paraId="30182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  <w:tblHeader w:val="true"/>
        </w:trPr>
        <w:tc>
          <w:tcPr>
            <w:tcW w:w="397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shd w:val="clear" w:color="auto" w:fill="1F4E79"/>
            <w:vAlign w:val="center"/>
          </w:tcPr>
          <w:p>
            <w:r>
              <w:t>序号</w:t>
            </w:r>
          </w:p>
        </w:tc>
        <w:tc>
          <w:tcPr>
            <w:tcW w:w="1134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shd w:val="clear" w:color="auto" w:fill="1F4E79"/>
            <w:vAlign w:val="center"/>
          </w:tcPr>
          <w:p>
            <w:r>
              <w:t>因果主线</w:t>
            </w:r>
          </w:p>
        </w:tc>
        <w:tc>
          <w:tcPr>
            <w:tcW w:w="2438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shd w:val="clear" w:color="auto" w:fill="1F4E79"/>
            <w:vAlign w:val="center"/>
          </w:tcPr>
          <w:p>
            <w:r>
              <w:t>触发事实</w:t>
            </w:r>
          </w:p>
        </w:tc>
        <w:tc>
          <w:tcPr>
            <w:tcW w:w="1814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shd w:val="clear" w:color="auto" w:fill="1F4E79"/>
            <w:vAlign w:val="center"/>
          </w:tcPr>
          <w:p>
            <w:r>
              <w:t>传导与交叉检验</w:t>
            </w:r>
          </w:p>
        </w:tc>
        <w:tc>
          <w:tcPr>
            <w:tcW w:w="1814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shd w:val="clear" w:color="auto" w:fill="1F4E79"/>
            <w:vAlign w:val="center"/>
          </w:tcPr>
          <w:p>
            <w:r>
              <w:t>当前状态</w:t>
            </w:r>
          </w:p>
        </w:tc>
        <w:tc>
          <w:tcPr>
            <w:tcW w:w="1247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shd w:val="clear" w:color="auto" w:fill="1F4E79"/>
            <w:vAlign w:val="center"/>
          </w:tcPr>
          <w:p>
            <w:r>
              <w:t>失效条件</w:t>
            </w:r>
          </w:p>
        </w:tc>
      </w:tr>
      <w:tr w14:paraId="38377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exact"/>
          <w:jc w:val="center"/>
          <w:cantSplit/>
        </w:trPr>
        <w:tc>
          <w:tcPr>
            <w:tcW w:w="397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113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2438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181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181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1247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</w:tr>
      <w:tr w14:paraId="0BF94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exact"/>
          <w:jc w:val="center"/>
          <w:cantSplit/>
        </w:trPr>
        <w:tc>
          <w:tcPr>
            <w:tcW w:w="397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113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vAlign w:val="center"/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2438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vAlign w:val="center"/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181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vAlign w:val="center"/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181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vAlign w:val="center"/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1247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vAlign w:val="center"/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</w:tr>
      <w:tr w14:paraId="4E514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exact"/>
          <w:jc w:val="center"/>
          <w:cantSplit/>
        </w:trPr>
        <w:tc>
          <w:tcPr>
            <w:tcW w:w="397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113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2438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181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181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1247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</w:tr>
      <w:tr w14:paraId="3227B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exact"/>
          <w:jc w:val="center"/>
          <w:cantSplit/>
        </w:trPr>
        <w:tc>
          <w:tcPr>
            <w:tcW w:w="397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113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vAlign w:val="center"/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2438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vAlign w:val="center"/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181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vAlign w:val="center"/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181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vAlign w:val="center"/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1247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vAlign w:val="center"/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</w:tr>
      <w:tr w14:paraId="615250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exact"/>
          <w:jc w:val="center"/>
          <w:cantSplit/>
        </w:trPr>
        <w:tc>
          <w:tcPr>
            <w:tcW w:w="397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113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2438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181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181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1247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</w:tr>
    </w:tbl>
    <w:p w14:paraId="3AAF2CE6">
      <w:pPr>
        <w:spacing w:after="0"/>
      </w:pPr>
    </w:p>
    <w:p w14:paraId="51F65AD7">
      <w:pPr>
        <w:spacing w:before="100" w:after="40" w:line="259" w:lineRule="auto"/>
      </w:pPr>
      <w:r>
        <w:rPr>
          <w:rFonts w:ascii="微软雅黑" w:hAnsi="微软雅黑" w:eastAsia="微软雅黑"/>
          <w:b/>
          <w:color w:val="1F4E79"/>
          <w:sz w:val="30"/>
        </w:rPr>
        <w:t>三、因果主线深度分析</w:t>
      </w:r>
    </w:p>
    <w:tbl>
      <w:tblPr>
        <w:tblStyle w:val="33"/>
        <w:tblW w:w="0" w:type="auto"/>
        <w:tblInd w:w="0" w:type="dxa"/>
        <w:tblBorders>
          <w:top w:val="nil" w:color="auto" w:sz="4" w:space="0"/>
          <w:left w:val="nil" w:color="auto" w:sz="4" w:space="0"/>
          <w:bottom w:val="nil" w:color="auto" w:sz="4" w:space="0"/>
          <w:right w:val="nil" w:color="auto" w:sz="4" w:space="0"/>
          <w:insideH w:val="nil" w:color="auto" w:sz="4" w:space="0"/>
          <w:insideV w:val="nil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36"/>
      </w:tblGrid>
      <w:tr w14:paraId="1F72F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exact"/>
          <w:cantSplit/>
        </w:trPr>
        <w:tc>
          <w:tcPr>
            <w:tcW w:w="10936" w:type="dxa"/>
            <w:tcBorders>
              <w:top w:val="nil" w:color="B7C9DD" w:sz="8" w:space="0"/>
              <w:left w:val="nil" w:color="B7C9DD" w:sz="8" w:space="0"/>
              <w:bottom w:val="nil" w:color="B7C9DD" w:sz="8" w:space="0"/>
              <w:right w:val="nil" w:color="B7C9DD" w:sz="8" w:space="0"/>
              <w:insideH w:val="nil"/>
              <w:insideV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</w:tr>
    </w:tbl>
    <w:p w14:paraId="61047244">
      <w:pPr>
        <w:spacing w:after="0" w:before="0" w:line="20" w:lineRule="exact"/>
      </w:pPr>
      <w:r>
        <w:rPr>
          <w:vanish/>
          <w:sz w:val="2"/>
        </w:rPr>
      </w:r>
    </w:p>
    <w:tbl>
      <w:tblPr>
        <w:tblStyle w:val="33"/>
        <w:tblW w:w="0" w:type="auto"/>
        <w:jc w:val="center"/>
        <w:tblBorders>
          <w:top w:val="nil" w:color="auto" w:sz="4" w:space="0"/>
          <w:left w:val="nil" w:color="auto" w:sz="4" w:space="0"/>
          <w:bottom w:val="nil" w:color="auto" w:sz="4" w:space="0"/>
          <w:right w:val="nil" w:color="auto" w:sz="4" w:space="0"/>
          <w:insideH w:val="nil" w:color="auto" w:sz="4" w:space="0"/>
          <w:insideV w:val="nil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7937"/>
      </w:tblGrid>
      <w:tr w14:paraId="64834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exact"/>
          <w:jc w:val="center"/>
          <w:cantSplit/>
        </w:trPr>
        <w:tc>
          <w:tcPr>
            <w:tcW w:w="147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7937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</w:tr>
      <w:tr w14:paraId="2FA29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exact"/>
          <w:jc w:val="center"/>
          <w:cantSplit/>
        </w:trPr>
        <w:tc>
          <w:tcPr>
            <w:tcW w:w="147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7937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</w:tr>
    </w:tbl>
    <w:p w14:paraId="06A77EDA">
      <w:pPr>
        <w:spacing w:after="0" w:before="0" w:line="20" w:lineRule="exact"/>
      </w:pPr>
      <w:r>
        <w:rPr>
          <w:vanish/>
          <w:sz w:val="2"/>
        </w:rPr>
      </w:r>
    </w:p>
    <w:tbl>
      <w:tblPr>
        <w:tblStyle w:val="33"/>
        <w:tblW w:w="0" w:type="auto"/>
        <w:jc w:val="center"/>
        <w:tblBorders>
          <w:top w:val="nil" w:color="auto" w:sz="4" w:space="0"/>
          <w:left w:val="nil" w:color="auto" w:sz="4" w:space="0"/>
          <w:bottom w:val="nil" w:color="auto" w:sz="4" w:space="0"/>
          <w:right w:val="nil" w:color="auto" w:sz="4" w:space="0"/>
          <w:insideH w:val="nil" w:color="auto" w:sz="4" w:space="0"/>
          <w:insideV w:val="nil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2268"/>
        <w:gridCol w:w="2268"/>
        <w:gridCol w:w="1984"/>
        <w:gridCol w:w="1701"/>
      </w:tblGrid>
      <w:tr w14:paraId="7FEFA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exact"/>
          <w:jc w:val="center"/>
          <w:cantSplit/>
        </w:trPr>
        <w:tc>
          <w:tcPr>
            <w:tcW w:w="850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2268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2268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198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1701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</w:tr>
      <w:tr w14:paraId="0DB6E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exact"/>
          <w:jc w:val="center"/>
          <w:cantSplit/>
        </w:trPr>
        <w:tc>
          <w:tcPr>
            <w:tcW w:w="850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2268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2268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198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1701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</w:tr>
      <w:tr w14:paraId="16F440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exact"/>
          <w:jc w:val="center"/>
          <w:cantSplit/>
        </w:trPr>
        <w:tc>
          <w:tcPr>
            <w:tcW w:w="850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2268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vAlign w:val="center"/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2268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vAlign w:val="center"/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198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vAlign w:val="center"/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1701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vAlign w:val="center"/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</w:tr>
      <w:tr w14:paraId="50CC3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exact"/>
          <w:jc w:val="center"/>
          <w:cantSplit/>
        </w:trPr>
        <w:tc>
          <w:tcPr>
            <w:tcW w:w="850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2268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2268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198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1701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</w:tr>
      <w:tr w14:paraId="18772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exact"/>
          <w:jc w:val="center"/>
          <w:cantSplit/>
        </w:trPr>
        <w:tc>
          <w:tcPr>
            <w:tcW w:w="850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2268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vAlign w:val="center"/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2268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vAlign w:val="center"/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198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vAlign w:val="center"/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1701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vAlign w:val="center"/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</w:tr>
      <w:tr w14:paraId="696D6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exact"/>
          <w:jc w:val="center"/>
          <w:cantSplit/>
        </w:trPr>
        <w:tc>
          <w:tcPr>
            <w:tcW w:w="850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2268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2268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198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1701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</w:tr>
    </w:tbl>
    <w:p w14:paraId="0330C86E">
      <w:pPr>
        <w:spacing w:after="0" w:before="0" w:line="20" w:lineRule="exact"/>
      </w:pPr>
      <w:r>
        <w:rPr>
          <w:vanish/>
          <w:sz w:val="2"/>
        </w:rPr>
      </w:r>
    </w:p>
    <w:tbl>
      <w:tblPr>
        <w:tblStyle w:val="33"/>
        <w:tblW w:w="0" w:type="auto"/>
        <w:jc w:val="center"/>
        <w:tblBorders>
          <w:top w:val="nil" w:color="auto" w:sz="4" w:space="0"/>
          <w:left w:val="nil" w:color="auto" w:sz="4" w:space="0"/>
          <w:bottom w:val="nil" w:color="auto" w:sz="4" w:space="0"/>
          <w:right w:val="nil" w:color="auto" w:sz="4" w:space="0"/>
          <w:insideH w:val="nil" w:color="auto" w:sz="4" w:space="0"/>
          <w:insideV w:val="nil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7937"/>
      </w:tblGrid>
      <w:tr w14:paraId="749B4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exact"/>
          <w:jc w:val="center"/>
          <w:cantSplit/>
        </w:trPr>
        <w:tc>
          <w:tcPr>
            <w:tcW w:w="147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7937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</w:tr>
      <w:tr w14:paraId="6EE9A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exact"/>
          <w:jc w:val="center"/>
          <w:cantSplit/>
        </w:trPr>
        <w:tc>
          <w:tcPr>
            <w:tcW w:w="147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7937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</w:tr>
    </w:tbl>
    <w:p w14:paraId="2A1A8BC5">
      <w:pPr>
        <w:spacing w:after="0" w:before="0" w:line="20" w:lineRule="exact"/>
      </w:pPr>
      <w:r>
        <w:rPr>
          <w:vanish/>
          <w:sz w:val="2"/>
        </w:rPr>
      </w:r>
    </w:p>
    <w:tbl>
      <w:tblPr>
        <w:tblStyle w:val="33"/>
        <w:tblW w:w="0" w:type="auto"/>
        <w:tblInd w:w="0" w:type="dxa"/>
        <w:tblBorders>
          <w:top w:val="nil" w:color="auto" w:sz="4" w:space="0"/>
          <w:left w:val="nil" w:color="auto" w:sz="4" w:space="0"/>
          <w:bottom w:val="nil" w:color="auto" w:sz="4" w:space="0"/>
          <w:right w:val="nil" w:color="auto" w:sz="4" w:space="0"/>
          <w:insideH w:val="nil" w:color="auto" w:sz="4" w:space="0"/>
          <w:insideV w:val="nil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36"/>
      </w:tblGrid>
      <w:tr w14:paraId="7ECE5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exact"/>
          <w:cantSplit/>
        </w:trPr>
        <w:tc>
          <w:tcPr>
            <w:tcW w:w="10936" w:type="dxa"/>
            <w:tcBorders>
              <w:top w:val="nil" w:color="B7C9DD" w:sz="8" w:space="0"/>
              <w:left w:val="nil" w:color="B7C9DD" w:sz="8" w:space="0"/>
              <w:bottom w:val="nil" w:color="B7C9DD" w:sz="8" w:space="0"/>
              <w:right w:val="nil" w:color="B7C9DD" w:sz="8" w:space="0"/>
              <w:insideH w:val="nil"/>
              <w:insideV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</w:tr>
    </w:tbl>
    <w:p w14:paraId="1E5C0301">
      <w:pPr>
        <w:spacing w:after="0" w:before="0" w:line="20" w:lineRule="exact"/>
      </w:pPr>
      <w:r>
        <w:rPr>
          <w:vanish/>
          <w:sz w:val="2"/>
        </w:rPr>
      </w:r>
    </w:p>
    <w:tbl>
      <w:tblPr>
        <w:tblStyle w:val="33"/>
        <w:tblW w:w="0" w:type="auto"/>
        <w:jc w:val="center"/>
        <w:tblBorders>
          <w:top w:val="nil" w:color="auto" w:sz="4" w:space="0"/>
          <w:left w:val="nil" w:color="auto" w:sz="4" w:space="0"/>
          <w:bottom w:val="nil" w:color="auto" w:sz="4" w:space="0"/>
          <w:right w:val="nil" w:color="auto" w:sz="4" w:space="0"/>
          <w:insideH w:val="nil" w:color="auto" w:sz="4" w:space="0"/>
          <w:insideV w:val="nil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5"/>
        <w:gridCol w:w="1020"/>
        <w:gridCol w:w="794"/>
        <w:gridCol w:w="3969"/>
        <w:gridCol w:w="2438"/>
      </w:tblGrid>
      <w:tr w14:paraId="2B2FA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exact"/>
          <w:jc w:val="center"/>
          <w:cantSplit/>
          <w:tblHeader w:val="true"/>
        </w:trPr>
        <w:tc>
          <w:tcPr>
            <w:tcW w:w="45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1020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79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3969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2438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</w:tr>
      <w:tr w14:paraId="30268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exact"/>
          <w:jc w:val="center"/>
          <w:cantSplit/>
        </w:trPr>
        <w:tc>
          <w:tcPr>
            <w:tcW w:w="45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1020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79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3969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2438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</w:tr>
      <w:tr w14:paraId="49F50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exact"/>
          <w:jc w:val="center"/>
          <w:cantSplit/>
        </w:trPr>
        <w:tc>
          <w:tcPr>
            <w:tcW w:w="45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1020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vAlign w:val="center"/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79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vAlign w:val="center"/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3969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vAlign w:val="center"/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2438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vAlign w:val="center"/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</w:tr>
      <w:tr w14:paraId="64187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exact"/>
          <w:jc w:val="center"/>
          <w:cantSplit/>
        </w:trPr>
        <w:tc>
          <w:tcPr>
            <w:tcW w:w="45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1020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79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3969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2438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</w:tr>
      <w:tr w14:paraId="13083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exact"/>
          <w:jc w:val="center"/>
          <w:cantSplit/>
        </w:trPr>
        <w:tc>
          <w:tcPr>
            <w:tcW w:w="45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1020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vAlign w:val="center"/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79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vAlign w:val="center"/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3969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vAlign w:val="center"/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2438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vAlign w:val="center"/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</w:tr>
      <w:tr w14:paraId="05676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exact"/>
          <w:jc w:val="center"/>
          <w:cantSplit/>
        </w:trPr>
        <w:tc>
          <w:tcPr>
            <w:tcW w:w="45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1020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79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3969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2438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</w:tr>
      <w:tr w14:paraId="482C8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exact"/>
          <w:jc w:val="center"/>
          <w:cantSplit/>
        </w:trPr>
        <w:tc>
          <w:tcPr>
            <w:tcW w:w="45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1020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vAlign w:val="center"/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79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vAlign w:val="center"/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3969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vAlign w:val="center"/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2438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vAlign w:val="center"/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</w:tr>
      <w:tr w14:paraId="49369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exact"/>
          <w:jc w:val="center"/>
          <w:cantSplit/>
        </w:trPr>
        <w:tc>
          <w:tcPr>
            <w:tcW w:w="45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1020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79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3969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2438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</w:tr>
      <w:tr w14:paraId="4563A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exact"/>
          <w:jc w:val="center"/>
          <w:cantSplit/>
        </w:trPr>
        <w:tc>
          <w:tcPr>
            <w:tcW w:w="45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1020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vAlign w:val="center"/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79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vAlign w:val="center"/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3969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vAlign w:val="center"/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2438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vAlign w:val="center"/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</w:tr>
      <w:tr w14:paraId="55548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exact"/>
          <w:jc w:val="center"/>
          <w:cantSplit/>
        </w:trPr>
        <w:tc>
          <w:tcPr>
            <w:tcW w:w="45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1020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79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3969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2438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</w:tr>
      <w:tr w14:paraId="19A78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exact"/>
          <w:jc w:val="center"/>
          <w:cantSplit/>
        </w:trPr>
        <w:tc>
          <w:tcPr>
            <w:tcW w:w="45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1020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vAlign w:val="center"/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79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vAlign w:val="center"/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3969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vAlign w:val="center"/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2438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vAlign w:val="center"/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</w:tr>
      <w:tr w14:paraId="1CB14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exact"/>
          <w:jc w:val="center"/>
          <w:cantSplit/>
        </w:trPr>
        <w:tc>
          <w:tcPr>
            <w:tcW w:w="45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1020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79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3969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2438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</w:tr>
      <w:tr w14:paraId="21C6DD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exact"/>
          <w:jc w:val="center"/>
          <w:cantSplit/>
        </w:trPr>
        <w:tc>
          <w:tcPr>
            <w:tcW w:w="45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1020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vAlign w:val="center"/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79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vAlign w:val="center"/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3969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vAlign w:val="center"/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2438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vAlign w:val="center"/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</w:tr>
      <w:tr w14:paraId="7EC3C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exact"/>
          <w:jc w:val="center"/>
          <w:cantSplit/>
        </w:trPr>
        <w:tc>
          <w:tcPr>
            <w:tcW w:w="45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1020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79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3969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2438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</w:tr>
      <w:tr w14:paraId="2DCF6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exact"/>
          <w:jc w:val="center"/>
          <w:cantSplit/>
        </w:trPr>
        <w:tc>
          <w:tcPr>
            <w:tcW w:w="45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1020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vAlign w:val="center"/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79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vAlign w:val="center"/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3969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vAlign w:val="center"/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2438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vAlign w:val="center"/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</w:tr>
    </w:tbl>
    <w:p w14:paraId="4AE84C51">
      <w:pPr>
        <w:spacing w:after="0" w:before="0" w:line="20" w:lineRule="exact"/>
      </w:pPr>
      <w:r>
        <w:rPr>
          <w:vanish/>
          <w:sz w:val="2"/>
        </w:rPr>
      </w:r>
    </w:p>
    <w:tbl>
      <w:tblPr>
        <w:tblStyle w:val="33"/>
        <w:tblW w:w="0" w:type="auto"/>
        <w:tblInd w:w="0" w:type="dxa"/>
        <w:tblBorders>
          <w:top w:val="nil" w:color="auto" w:sz="4" w:space="0"/>
          <w:left w:val="nil" w:color="auto" w:sz="4" w:space="0"/>
          <w:bottom w:val="nil" w:color="auto" w:sz="4" w:space="0"/>
          <w:right w:val="nil" w:color="auto" w:sz="4" w:space="0"/>
          <w:insideH w:val="nil" w:color="auto" w:sz="4" w:space="0"/>
          <w:insideV w:val="nil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36"/>
      </w:tblGrid>
      <w:tr w14:paraId="704D4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0" w:hRule="exact"/>
          <w:cantSplit/>
        </w:trPr>
        <w:tc>
          <w:tcPr>
            <w:tcW w:w="10936" w:type="dxa"/>
            <w:tcBorders>
              <w:top w:val="nil" w:color="B7C9DD" w:sz="8" w:space="0"/>
              <w:left w:val="nil" w:color="B7C9DD" w:sz="8" w:space="0"/>
              <w:bottom w:val="nil" w:color="B7C9DD" w:sz="8" w:space="0"/>
              <w:right w:val="nil" w:color="B7C9DD" w:sz="8" w:space="0"/>
              <w:insideH w:val="nil"/>
              <w:insideV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</w:tr>
    </w:tbl>
    <w:p w14:paraId="0F31F8E4">
      <w:pPr>
        <w:spacing w:after="0" w:before="0" w:line="20" w:lineRule="exact"/>
      </w:pPr>
      <w:r>
        <w:rPr>
          <w:vanish/>
          <w:sz w:val="2"/>
        </w:rPr>
      </w:r>
    </w:p>
    <w:tbl>
      <w:tblPr>
        <w:tblStyle w:val="33"/>
        <w:tblW w:w="0" w:type="auto"/>
        <w:jc w:val="center"/>
        <w:tblBorders>
          <w:top w:val="nil" w:color="auto" w:sz="4" w:space="0"/>
          <w:left w:val="nil" w:color="auto" w:sz="4" w:space="0"/>
          <w:bottom w:val="nil" w:color="auto" w:sz="4" w:space="0"/>
          <w:right w:val="nil" w:color="auto" w:sz="4" w:space="0"/>
          <w:insideH w:val="nil" w:color="auto" w:sz="4" w:space="0"/>
          <w:insideV w:val="nil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7937"/>
      </w:tblGrid>
      <w:tr w14:paraId="31BF5C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exact"/>
          <w:jc w:val="center"/>
          <w:cantSplit/>
        </w:trPr>
        <w:tc>
          <w:tcPr>
            <w:tcW w:w="147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7937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</w:tr>
      <w:tr w14:paraId="11CF8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exact"/>
          <w:jc w:val="center"/>
          <w:cantSplit/>
        </w:trPr>
        <w:tc>
          <w:tcPr>
            <w:tcW w:w="147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7937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</w:tr>
      <w:tr w14:paraId="2F2F7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exact"/>
          <w:jc w:val="center"/>
          <w:cantSplit/>
        </w:trPr>
        <w:tc>
          <w:tcPr>
            <w:tcW w:w="147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7937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</w:tr>
      <w:tr w14:paraId="6A433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exact"/>
          <w:jc w:val="center"/>
          <w:cantSplit/>
        </w:trPr>
        <w:tc>
          <w:tcPr>
            <w:tcW w:w="147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7937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</w:tr>
      <w:tr w14:paraId="53CB0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exact"/>
          <w:jc w:val="center"/>
          <w:cantSplit/>
        </w:trPr>
        <w:tc>
          <w:tcPr>
            <w:tcW w:w="147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7937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</w:tr>
      <w:tr w14:paraId="71C8E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exact"/>
          <w:jc w:val="center"/>
          <w:cantSplit/>
        </w:trPr>
        <w:tc>
          <w:tcPr>
            <w:tcW w:w="147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7937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</w:tr>
    </w:tbl>
    <w:p w14:paraId="52FF52AF">
      <w:pPr>
        <w:spacing w:after="0" w:before="0" w:line="20" w:lineRule="exact"/>
      </w:pPr>
      <w:r>
        <w:rPr>
          <w:vanish/>
          <w:sz w:val="2"/>
        </w:rPr>
      </w:r>
    </w:p>
    <w:tbl>
      <w:tblPr>
        <w:tblStyle w:val="33"/>
        <w:tblW w:w="0" w:type="auto"/>
        <w:tblInd w:w="0" w:type="dxa"/>
        <w:tblBorders>
          <w:top w:val="nil" w:color="auto" w:sz="4" w:space="0"/>
          <w:left w:val="nil" w:color="auto" w:sz="4" w:space="0"/>
          <w:bottom w:val="nil" w:color="auto" w:sz="4" w:space="0"/>
          <w:right w:val="nil" w:color="auto" w:sz="4" w:space="0"/>
          <w:insideH w:val="nil" w:color="auto" w:sz="4" w:space="0"/>
          <w:insideV w:val="nil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36"/>
      </w:tblGrid>
      <w:tr w14:paraId="2A22E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exact"/>
          <w:cantSplit/>
        </w:trPr>
        <w:tc>
          <w:tcPr>
            <w:tcW w:w="10936" w:type="dxa"/>
            <w:tcBorders>
              <w:top w:val="nil" w:color="B7C9DD" w:sz="8" w:space="0"/>
              <w:left w:val="nil" w:color="B7C9DD" w:sz="8" w:space="0"/>
              <w:bottom w:val="nil" w:color="B7C9DD" w:sz="8" w:space="0"/>
              <w:right w:val="nil" w:color="B7C9DD" w:sz="8" w:space="0"/>
              <w:insideH w:val="nil"/>
              <w:insideV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</w:tr>
    </w:tbl>
    <w:p w14:paraId="4199F524">
      <w:pPr>
        <w:spacing w:after="0" w:before="0" w:line="20" w:lineRule="exact"/>
      </w:pPr>
      <w:r>
        <w:rPr>
          <w:vanish/>
          <w:sz w:val="2"/>
        </w:rPr>
      </w:r>
    </w:p>
    <w:tbl>
      <w:tblPr>
        <w:tblStyle w:val="33"/>
        <w:tblW w:w="0" w:type="auto"/>
        <w:jc w:val="center"/>
        <w:tblBorders>
          <w:top w:val="nil" w:color="auto" w:sz="4" w:space="0"/>
          <w:left w:val="nil" w:color="auto" w:sz="4" w:space="0"/>
          <w:bottom w:val="nil" w:color="auto" w:sz="4" w:space="0"/>
          <w:right w:val="nil" w:color="auto" w:sz="4" w:space="0"/>
          <w:insideH w:val="nil" w:color="auto" w:sz="4" w:space="0"/>
          <w:insideV w:val="nil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"/>
        <w:gridCol w:w="1020"/>
        <w:gridCol w:w="794"/>
        <w:gridCol w:w="3969"/>
        <w:gridCol w:w="2438"/>
      </w:tblGrid>
      <w:tr w14:paraId="02F27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exact"/>
          <w:jc w:val="center"/>
          <w:cantSplit/>
          <w:tblHeader w:val="true"/>
        </w:trPr>
        <w:tc>
          <w:tcPr>
            <w:tcW w:w="45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1020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79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3969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2438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</w:tr>
      <w:tr w14:paraId="55978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exact"/>
          <w:jc w:val="center"/>
          <w:cantSplit/>
        </w:trPr>
        <w:tc>
          <w:tcPr>
            <w:tcW w:w="45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1020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79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3969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2438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</w:tr>
      <w:tr w14:paraId="3B342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exact"/>
          <w:jc w:val="center"/>
          <w:cantSplit/>
        </w:trPr>
        <w:tc>
          <w:tcPr>
            <w:tcW w:w="45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1020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vAlign w:val="center"/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79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vAlign w:val="center"/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3969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vAlign w:val="center"/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2438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vAlign w:val="center"/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</w:tr>
      <w:tr w14:paraId="0DE4AE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exact"/>
          <w:jc w:val="center"/>
          <w:cantSplit/>
        </w:trPr>
        <w:tc>
          <w:tcPr>
            <w:tcW w:w="45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1020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79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3969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2438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</w:tr>
      <w:tr w14:paraId="2E389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exact"/>
          <w:jc w:val="center"/>
          <w:cantSplit/>
        </w:trPr>
        <w:tc>
          <w:tcPr>
            <w:tcW w:w="45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1020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vAlign w:val="center"/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79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vAlign w:val="center"/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3969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vAlign w:val="center"/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2438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vAlign w:val="center"/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</w:tr>
      <w:tr w14:paraId="3EAC7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exact"/>
          <w:jc w:val="center"/>
          <w:cantSplit/>
        </w:trPr>
        <w:tc>
          <w:tcPr>
            <w:tcW w:w="45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1020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79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3969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2438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</w:tr>
      <w:tr w14:paraId="144E8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exact"/>
          <w:jc w:val="center"/>
          <w:cantSplit/>
        </w:trPr>
        <w:tc>
          <w:tcPr>
            <w:tcW w:w="45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1020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vAlign w:val="center"/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79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vAlign w:val="center"/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3969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vAlign w:val="center"/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2438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vAlign w:val="center"/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</w:tr>
      <w:tr w14:paraId="19611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exact"/>
          <w:jc w:val="center"/>
          <w:cantSplit/>
        </w:trPr>
        <w:tc>
          <w:tcPr>
            <w:tcW w:w="45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1020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79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3969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2438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</w:tr>
      <w:tr w14:paraId="40758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exact"/>
          <w:jc w:val="center"/>
          <w:cantSplit/>
        </w:trPr>
        <w:tc>
          <w:tcPr>
            <w:tcW w:w="45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1020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vAlign w:val="center"/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79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vAlign w:val="center"/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3969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vAlign w:val="center"/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2438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vAlign w:val="center"/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</w:tr>
      <w:tr w14:paraId="5F894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exact"/>
          <w:jc w:val="center"/>
          <w:cantSplit/>
        </w:trPr>
        <w:tc>
          <w:tcPr>
            <w:tcW w:w="45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1020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79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3969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2438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</w:tr>
    </w:tbl>
    <w:p w14:paraId="2732CD25">
      <w:pPr>
        <w:spacing w:after="0" w:before="0" w:line="20" w:lineRule="exact"/>
      </w:pPr>
      <w:r>
        <w:rPr>
          <w:vanish/>
          <w:sz w:val="2"/>
        </w:rPr>
      </w:r>
    </w:p>
    <w:tbl>
      <w:tblPr>
        <w:tblStyle w:val="33"/>
        <w:tblW w:w="0" w:type="auto"/>
        <w:tblInd w:w="0" w:type="dxa"/>
        <w:tblBorders>
          <w:top w:val="nil" w:color="auto" w:sz="4" w:space="0"/>
          <w:left w:val="nil" w:color="auto" w:sz="4" w:space="0"/>
          <w:bottom w:val="nil" w:color="auto" w:sz="4" w:space="0"/>
          <w:right w:val="nil" w:color="auto" w:sz="4" w:space="0"/>
          <w:insideH w:val="nil" w:color="auto" w:sz="4" w:space="0"/>
          <w:insideV w:val="nil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36"/>
      </w:tblGrid>
      <w:tr w14:paraId="383BF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exact"/>
          <w:cantSplit/>
        </w:trPr>
        <w:tc>
          <w:tcPr>
            <w:tcW w:w="10936" w:type="dxa"/>
            <w:tcBorders>
              <w:top w:val="nil" w:color="B7C9DD" w:sz="8" w:space="0"/>
              <w:left w:val="nil" w:color="B7C9DD" w:sz="8" w:space="0"/>
              <w:bottom w:val="nil" w:color="B7C9DD" w:sz="8" w:space="0"/>
              <w:right w:val="nil" w:color="B7C9DD" w:sz="8" w:space="0"/>
              <w:insideH w:val="nil"/>
              <w:insideV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</w:tr>
    </w:tbl>
    <w:p w14:paraId="3BF47BFA">
      <w:pPr>
        <w:spacing w:after="0" w:before="0" w:line="20" w:lineRule="exact"/>
      </w:pPr>
      <w:r>
        <w:rPr>
          <w:vanish/>
          <w:sz w:val="2"/>
        </w:rPr>
      </w:r>
    </w:p>
    <w:tbl>
      <w:tblPr>
        <w:tblStyle w:val="33"/>
        <w:tblW w:w="0" w:type="auto"/>
        <w:jc w:val="center"/>
        <w:tblBorders>
          <w:top w:val="nil" w:color="auto" w:sz="4" w:space="0"/>
          <w:left w:val="nil" w:color="auto" w:sz="4" w:space="0"/>
          <w:bottom w:val="nil" w:color="auto" w:sz="4" w:space="0"/>
          <w:right w:val="nil" w:color="auto" w:sz="4" w:space="0"/>
          <w:insideH w:val="nil" w:color="auto" w:sz="4" w:space="0"/>
          <w:insideV w:val="nil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7937"/>
      </w:tblGrid>
      <w:tr w14:paraId="5B4E7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exact"/>
          <w:jc w:val="center"/>
          <w:cantSplit/>
        </w:trPr>
        <w:tc>
          <w:tcPr>
            <w:tcW w:w="147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7937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</w:tr>
      <w:tr w14:paraId="2404F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exact"/>
          <w:jc w:val="center"/>
          <w:cantSplit/>
        </w:trPr>
        <w:tc>
          <w:tcPr>
            <w:tcW w:w="147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7937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</w:tr>
      <w:tr w14:paraId="38A7EA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exact"/>
          <w:jc w:val="center"/>
          <w:cantSplit/>
        </w:trPr>
        <w:tc>
          <w:tcPr>
            <w:tcW w:w="147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7937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</w:tr>
      <w:tr w14:paraId="258AF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exact"/>
          <w:jc w:val="center"/>
          <w:cantSplit/>
        </w:trPr>
        <w:tc>
          <w:tcPr>
            <w:tcW w:w="147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7937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</w:tr>
      <w:tr w14:paraId="24D32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exact"/>
          <w:jc w:val="center"/>
          <w:cantSplit/>
        </w:trPr>
        <w:tc>
          <w:tcPr>
            <w:tcW w:w="147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7937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</w:tr>
      <w:tr w14:paraId="16CC2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exact"/>
          <w:jc w:val="center"/>
          <w:cantSplit/>
        </w:trPr>
        <w:tc>
          <w:tcPr>
            <w:tcW w:w="147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7937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</w:tr>
    </w:tbl>
    <w:p w14:paraId="77EB8373">
      <w:pPr>
        <w:spacing w:after="0" w:before="0" w:line="20" w:lineRule="exact"/>
      </w:pPr>
      <w:r>
        <w:rPr>
          <w:vanish/>
          <w:sz w:val="2"/>
        </w:rPr>
      </w:r>
    </w:p>
    <w:tbl>
      <w:tblPr>
        <w:tblStyle w:val="33"/>
        <w:tblW w:w="0" w:type="auto"/>
        <w:tblInd w:w="0" w:type="dxa"/>
        <w:tblBorders>
          <w:top w:val="nil" w:color="auto" w:sz="4" w:space="0"/>
          <w:left w:val="nil" w:color="auto" w:sz="4" w:space="0"/>
          <w:bottom w:val="nil" w:color="auto" w:sz="4" w:space="0"/>
          <w:right w:val="nil" w:color="auto" w:sz="4" w:space="0"/>
          <w:insideH w:val="nil" w:color="auto" w:sz="4" w:space="0"/>
          <w:insideV w:val="nil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36"/>
      </w:tblGrid>
      <w:tr w14:paraId="3132F8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exact"/>
          <w:cantSplit/>
        </w:trPr>
        <w:tc>
          <w:tcPr>
            <w:tcW w:w="10936" w:type="dxa"/>
            <w:tcBorders>
              <w:top w:val="nil" w:color="B7C9DD" w:sz="8" w:space="0"/>
              <w:left w:val="nil" w:color="B7C9DD" w:sz="8" w:space="0"/>
              <w:bottom w:val="nil" w:color="B7C9DD" w:sz="8" w:space="0"/>
              <w:right w:val="nil" w:color="B7C9DD" w:sz="8" w:space="0"/>
              <w:insideH w:val="nil"/>
              <w:insideV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</w:tr>
    </w:tbl>
    <w:p w14:paraId="4648C07E">
      <w:pPr>
        <w:spacing w:after="0" w:before="0" w:line="20" w:lineRule="exact"/>
      </w:pPr>
      <w:r>
        <w:rPr>
          <w:vanish/>
          <w:sz w:val="2"/>
        </w:rPr>
      </w:r>
    </w:p>
    <w:tbl>
      <w:tblPr>
        <w:tblStyle w:val="33"/>
        <w:tblW w:w="0" w:type="auto"/>
        <w:jc w:val="center"/>
        <w:tblBorders>
          <w:top w:val="nil" w:color="auto" w:sz="4" w:space="0"/>
          <w:left w:val="nil" w:color="auto" w:sz="4" w:space="0"/>
          <w:bottom w:val="nil" w:color="auto" w:sz="4" w:space="0"/>
          <w:right w:val="nil" w:color="auto" w:sz="4" w:space="0"/>
          <w:insideH w:val="nil" w:color="auto" w:sz="4" w:space="0"/>
          <w:insideV w:val="nil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"/>
        <w:gridCol w:w="1020"/>
        <w:gridCol w:w="794"/>
        <w:gridCol w:w="3969"/>
        <w:gridCol w:w="2438"/>
      </w:tblGrid>
      <w:tr w14:paraId="5C9CB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exact"/>
          <w:jc w:val="center"/>
          <w:cantSplit/>
          <w:tblHeader w:val="true"/>
        </w:trPr>
        <w:tc>
          <w:tcPr>
            <w:tcW w:w="45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1020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79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3969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2438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</w:tr>
      <w:tr w14:paraId="3E567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exact"/>
          <w:jc w:val="center"/>
          <w:cantSplit/>
        </w:trPr>
        <w:tc>
          <w:tcPr>
            <w:tcW w:w="45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1020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79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3969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2438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</w:tr>
      <w:tr w14:paraId="748CD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exact"/>
          <w:jc w:val="center"/>
          <w:cantSplit/>
        </w:trPr>
        <w:tc>
          <w:tcPr>
            <w:tcW w:w="45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1020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vAlign w:val="center"/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79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vAlign w:val="center"/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3969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vAlign w:val="center"/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2438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vAlign w:val="center"/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</w:tr>
      <w:tr w14:paraId="0AB48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exact"/>
          <w:jc w:val="center"/>
          <w:cantSplit/>
        </w:trPr>
        <w:tc>
          <w:tcPr>
            <w:tcW w:w="45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1020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79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3969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2438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</w:tr>
      <w:tr w14:paraId="30A9B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exact"/>
          <w:jc w:val="center"/>
          <w:cantSplit/>
        </w:trPr>
        <w:tc>
          <w:tcPr>
            <w:tcW w:w="45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1020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vAlign w:val="center"/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79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vAlign w:val="center"/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3969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vAlign w:val="center"/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2438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vAlign w:val="center"/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</w:tr>
      <w:tr w14:paraId="3DBEB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exact"/>
          <w:jc w:val="center"/>
          <w:cantSplit/>
        </w:trPr>
        <w:tc>
          <w:tcPr>
            <w:tcW w:w="45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1020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79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3969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2438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</w:tr>
      <w:tr w14:paraId="6162B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exact"/>
          <w:jc w:val="center"/>
          <w:cantSplit/>
        </w:trPr>
        <w:tc>
          <w:tcPr>
            <w:tcW w:w="45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1020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vAlign w:val="center"/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79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vAlign w:val="center"/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3969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vAlign w:val="center"/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2438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vAlign w:val="center"/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</w:tr>
    </w:tbl>
    <w:p w14:paraId="17C4BD60">
      <w:pPr>
        <w:spacing w:after="0" w:before="0" w:line="20" w:lineRule="exact"/>
      </w:pPr>
      <w:r>
        <w:rPr>
          <w:vanish/>
          <w:sz w:val="2"/>
        </w:rPr>
      </w:r>
    </w:p>
    <w:tbl>
      <w:tblPr>
        <w:tblStyle w:val="33"/>
        <w:tblW w:w="0" w:type="auto"/>
        <w:tblInd w:w="0" w:type="dxa"/>
        <w:tblBorders>
          <w:top w:val="nil" w:color="auto" w:sz="4" w:space="0"/>
          <w:left w:val="nil" w:color="auto" w:sz="4" w:space="0"/>
          <w:bottom w:val="nil" w:color="auto" w:sz="4" w:space="0"/>
          <w:right w:val="nil" w:color="auto" w:sz="4" w:space="0"/>
          <w:insideH w:val="nil" w:color="auto" w:sz="4" w:space="0"/>
          <w:insideV w:val="nil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36"/>
      </w:tblGrid>
      <w:tr w14:paraId="583D0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0" w:hRule="exact"/>
          <w:cantSplit/>
        </w:trPr>
        <w:tc>
          <w:tcPr>
            <w:tcW w:w="10936" w:type="dxa"/>
            <w:tcBorders>
              <w:top w:val="nil" w:color="B7C9DD" w:sz="8" w:space="0"/>
              <w:left w:val="nil" w:color="B7C9DD" w:sz="8" w:space="0"/>
              <w:bottom w:val="nil" w:color="B7C9DD" w:sz="8" w:space="0"/>
              <w:right w:val="nil" w:color="B7C9DD" w:sz="8" w:space="0"/>
              <w:insideH w:val="nil"/>
              <w:insideV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</w:tr>
    </w:tbl>
    <w:p w14:paraId="38BC4A84">
      <w:pPr>
        <w:spacing w:after="0" w:before="0" w:line="20" w:lineRule="exact"/>
      </w:pPr>
      <w:r>
        <w:rPr>
          <w:vanish/>
          <w:sz w:val="2"/>
        </w:rPr>
      </w:r>
    </w:p>
    <w:tbl>
      <w:tblPr>
        <w:tblStyle w:val="33"/>
        <w:tblW w:w="0" w:type="auto"/>
        <w:jc w:val="center"/>
        <w:tblBorders>
          <w:top w:val="nil" w:color="auto" w:sz="4" w:space="0"/>
          <w:left w:val="nil" w:color="auto" w:sz="4" w:space="0"/>
          <w:bottom w:val="nil" w:color="auto" w:sz="4" w:space="0"/>
          <w:right w:val="nil" w:color="auto" w:sz="4" w:space="0"/>
          <w:insideH w:val="nil" w:color="auto" w:sz="4" w:space="0"/>
          <w:insideV w:val="nil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7937"/>
      </w:tblGrid>
      <w:tr w14:paraId="6FA42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exact"/>
          <w:jc w:val="center"/>
          <w:cantSplit/>
        </w:trPr>
        <w:tc>
          <w:tcPr>
            <w:tcW w:w="147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7937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</w:tr>
      <w:tr w14:paraId="0867D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exact"/>
          <w:jc w:val="center"/>
          <w:cantSplit/>
        </w:trPr>
        <w:tc>
          <w:tcPr>
            <w:tcW w:w="147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7937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</w:tr>
      <w:tr w14:paraId="77BCC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exact"/>
          <w:jc w:val="center"/>
          <w:cantSplit/>
        </w:trPr>
        <w:tc>
          <w:tcPr>
            <w:tcW w:w="147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7937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</w:tr>
      <w:tr w14:paraId="1E32D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exact"/>
          <w:jc w:val="center"/>
          <w:cantSplit/>
        </w:trPr>
        <w:tc>
          <w:tcPr>
            <w:tcW w:w="147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7937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</w:tr>
      <w:tr w14:paraId="057EE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exact"/>
          <w:jc w:val="center"/>
          <w:cantSplit/>
        </w:trPr>
        <w:tc>
          <w:tcPr>
            <w:tcW w:w="147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7937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</w:tr>
      <w:tr w14:paraId="581C3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exact"/>
          <w:jc w:val="center"/>
          <w:cantSplit/>
        </w:trPr>
        <w:tc>
          <w:tcPr>
            <w:tcW w:w="147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7937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</w:tr>
    </w:tbl>
    <w:p w14:paraId="6F19F324">
      <w:pPr>
        <w:spacing w:after="0" w:before="0" w:line="20" w:lineRule="exact"/>
      </w:pPr>
      <w:r>
        <w:rPr>
          <w:vanish/>
          <w:sz w:val="2"/>
        </w:rPr>
      </w:r>
    </w:p>
    <w:tbl>
      <w:tblPr>
        <w:tblStyle w:val="33"/>
        <w:tblW w:w="0" w:type="auto"/>
        <w:tblInd w:w="0" w:type="dxa"/>
        <w:tblBorders>
          <w:top w:val="nil" w:color="auto" w:sz="4" w:space="0"/>
          <w:left w:val="nil" w:color="auto" w:sz="4" w:space="0"/>
          <w:bottom w:val="nil" w:color="auto" w:sz="4" w:space="0"/>
          <w:right w:val="nil" w:color="auto" w:sz="4" w:space="0"/>
          <w:insideH w:val="nil" w:color="auto" w:sz="4" w:space="0"/>
          <w:insideV w:val="nil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36"/>
      </w:tblGrid>
      <w:tr w14:paraId="5AFF1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exact"/>
          <w:cantSplit/>
        </w:trPr>
        <w:tc>
          <w:tcPr>
            <w:tcW w:w="10936" w:type="dxa"/>
            <w:tcBorders>
              <w:top w:val="nil" w:color="B7C9DD" w:sz="8" w:space="0"/>
              <w:left w:val="nil" w:color="B7C9DD" w:sz="8" w:space="0"/>
              <w:bottom w:val="nil" w:color="B7C9DD" w:sz="8" w:space="0"/>
              <w:right w:val="nil" w:color="B7C9DD" w:sz="8" w:space="0"/>
              <w:insideH w:val="nil"/>
              <w:insideV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</w:tr>
    </w:tbl>
    <w:p w14:paraId="207D1F99">
      <w:pPr>
        <w:spacing w:after="0" w:before="0" w:line="20" w:lineRule="exact"/>
      </w:pPr>
      <w:r>
        <w:rPr>
          <w:vanish/>
          <w:sz w:val="2"/>
        </w:rPr>
      </w:r>
    </w:p>
    <w:tbl>
      <w:tblPr>
        <w:tblStyle w:val="33"/>
        <w:tblW w:w="0" w:type="auto"/>
        <w:jc w:val="center"/>
        <w:tblBorders>
          <w:top w:val="nil" w:color="auto" w:sz="4" w:space="0"/>
          <w:left w:val="nil" w:color="auto" w:sz="4" w:space="0"/>
          <w:bottom w:val="nil" w:color="auto" w:sz="4" w:space="0"/>
          <w:right w:val="nil" w:color="auto" w:sz="4" w:space="0"/>
          <w:insideH w:val="nil" w:color="auto" w:sz="4" w:space="0"/>
          <w:insideV w:val="nil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"/>
        <w:gridCol w:w="1020"/>
        <w:gridCol w:w="794"/>
        <w:gridCol w:w="3969"/>
        <w:gridCol w:w="2438"/>
      </w:tblGrid>
      <w:tr w14:paraId="3339A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exact"/>
          <w:jc w:val="center"/>
          <w:cantSplit/>
          <w:tblHeader w:val="true"/>
        </w:trPr>
        <w:tc>
          <w:tcPr>
            <w:tcW w:w="45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1020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79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3969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2438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</w:tr>
      <w:tr w14:paraId="47EEC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exact"/>
          <w:jc w:val="center"/>
          <w:cantSplit/>
        </w:trPr>
        <w:tc>
          <w:tcPr>
            <w:tcW w:w="45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1020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79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3969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2438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</w:tr>
      <w:tr w14:paraId="0152C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exact"/>
          <w:jc w:val="center"/>
          <w:cantSplit/>
        </w:trPr>
        <w:tc>
          <w:tcPr>
            <w:tcW w:w="45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1020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vAlign w:val="center"/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79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vAlign w:val="center"/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3969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vAlign w:val="center"/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2438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vAlign w:val="center"/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</w:tr>
      <w:tr w14:paraId="26C95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exact"/>
          <w:jc w:val="center"/>
          <w:cantSplit/>
        </w:trPr>
        <w:tc>
          <w:tcPr>
            <w:tcW w:w="45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1020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79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3969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2438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</w:tr>
      <w:tr w14:paraId="1BB4C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exact"/>
          <w:jc w:val="center"/>
          <w:cantSplit/>
        </w:trPr>
        <w:tc>
          <w:tcPr>
            <w:tcW w:w="45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1020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vAlign w:val="center"/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79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vAlign w:val="center"/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3969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vAlign w:val="center"/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2438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vAlign w:val="center"/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</w:tr>
      <w:tr w14:paraId="3D0CC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exact"/>
          <w:jc w:val="center"/>
          <w:cantSplit/>
        </w:trPr>
        <w:tc>
          <w:tcPr>
            <w:tcW w:w="45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1020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79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3969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2438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</w:tr>
    </w:tbl>
    <w:p w14:paraId="7E44E823">
      <w:pPr>
        <w:spacing w:after="0" w:before="0" w:line="20" w:lineRule="exact"/>
      </w:pPr>
      <w:r>
        <w:rPr>
          <w:vanish/>
          <w:sz w:val="2"/>
        </w:rPr>
      </w:r>
    </w:p>
    <w:tbl>
      <w:tblPr>
        <w:tblStyle w:val="33"/>
        <w:tblW w:w="0" w:type="auto"/>
        <w:tblInd w:w="0" w:type="dxa"/>
        <w:tblBorders>
          <w:top w:val="nil" w:color="auto" w:sz="4" w:space="0"/>
          <w:left w:val="nil" w:color="auto" w:sz="4" w:space="0"/>
          <w:bottom w:val="nil" w:color="auto" w:sz="4" w:space="0"/>
          <w:right w:val="nil" w:color="auto" w:sz="4" w:space="0"/>
          <w:insideH w:val="nil" w:color="auto" w:sz="4" w:space="0"/>
          <w:insideV w:val="nil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36"/>
      </w:tblGrid>
      <w:tr w14:paraId="787D6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exact"/>
          <w:cantSplit/>
        </w:trPr>
        <w:tc>
          <w:tcPr>
            <w:tcW w:w="10936" w:type="dxa"/>
            <w:tcBorders>
              <w:top w:val="nil" w:color="B7C9DD" w:sz="8" w:space="0"/>
              <w:left w:val="nil" w:color="B7C9DD" w:sz="8" w:space="0"/>
              <w:bottom w:val="nil" w:color="B7C9DD" w:sz="8" w:space="0"/>
              <w:right w:val="nil" w:color="B7C9DD" w:sz="8" w:space="0"/>
              <w:insideH w:val="nil"/>
              <w:insideV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</w:tr>
    </w:tbl>
    <w:p w14:paraId="11B77F71">
      <w:pPr>
        <w:spacing w:after="0" w:before="0" w:line="20" w:lineRule="exact"/>
      </w:pPr>
      <w:r>
        <w:rPr>
          <w:vanish/>
          <w:sz w:val="2"/>
        </w:rPr>
      </w:r>
    </w:p>
    <w:tbl>
      <w:tblPr>
        <w:tblStyle w:val="33"/>
        <w:tblW w:w="0" w:type="auto"/>
        <w:jc w:val="center"/>
        <w:tblBorders>
          <w:top w:val="nil" w:color="auto" w:sz="4" w:space="0"/>
          <w:left w:val="nil" w:color="auto" w:sz="4" w:space="0"/>
          <w:bottom w:val="nil" w:color="auto" w:sz="4" w:space="0"/>
          <w:right w:val="nil" w:color="auto" w:sz="4" w:space="0"/>
          <w:insideH w:val="nil" w:color="auto" w:sz="4" w:space="0"/>
          <w:insideV w:val="nil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7937"/>
      </w:tblGrid>
      <w:tr w14:paraId="23656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exact"/>
          <w:jc w:val="center"/>
          <w:cantSplit/>
        </w:trPr>
        <w:tc>
          <w:tcPr>
            <w:tcW w:w="147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7937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</w:tr>
      <w:tr w14:paraId="55141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exact"/>
          <w:jc w:val="center"/>
          <w:cantSplit/>
        </w:trPr>
        <w:tc>
          <w:tcPr>
            <w:tcW w:w="147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7937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</w:tr>
      <w:tr w14:paraId="28F07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exact"/>
          <w:jc w:val="center"/>
          <w:cantSplit/>
        </w:trPr>
        <w:tc>
          <w:tcPr>
            <w:tcW w:w="147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7937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</w:tr>
      <w:tr w14:paraId="0C1BA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exact"/>
          <w:jc w:val="center"/>
          <w:cantSplit/>
        </w:trPr>
        <w:tc>
          <w:tcPr>
            <w:tcW w:w="147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7937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</w:tr>
      <w:tr w14:paraId="79958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exact"/>
          <w:jc w:val="center"/>
          <w:cantSplit/>
        </w:trPr>
        <w:tc>
          <w:tcPr>
            <w:tcW w:w="147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7937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</w:tr>
      <w:tr w14:paraId="6ACB6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exact"/>
          <w:jc w:val="center"/>
          <w:cantSplit/>
        </w:trPr>
        <w:tc>
          <w:tcPr>
            <w:tcW w:w="147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7937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</w:tr>
    </w:tbl>
    <w:p w14:paraId="028090F9">
      <w:pPr>
        <w:spacing w:after="40"/>
      </w:pPr>
      <w:r>
        <w:t>情绪与资金：8月12日上涨3860家、下跌1217家，上涨占比76.0%，个股普涨、结构分化。 参与者资金证据：达到参与者确认标准的行业主线为0条</w:t>
      </w:r>
    </w:p>
    <w:tbl>
      <w:tblPr>
        <w:tblStyle w:val="33"/>
        <w:tblW w:w="0" w:type="auto"/>
        <w:tblInd w:w="0" w:type="dxa"/>
        <w:tblBorders>
          <w:top w:val="nil" w:color="auto" w:sz="4" w:space="0"/>
          <w:left w:val="nil" w:color="auto" w:sz="4" w:space="0"/>
          <w:bottom w:val="nil" w:color="auto" w:sz="4" w:space="0"/>
          <w:right w:val="nil" w:color="auto" w:sz="4" w:space="0"/>
          <w:insideH w:val="nil" w:color="auto" w:sz="4" w:space="0"/>
          <w:insideV w:val="nil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36"/>
      </w:tblGrid>
      <w:tr w14:paraId="3A4672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exact"/>
          <w:cantSplit/>
        </w:trPr>
        <w:tc>
          <w:tcPr>
            <w:tcW w:w="10936" w:type="dxa"/>
            <w:tcBorders>
              <w:top w:val="nil" w:color="B7C9DD" w:sz="8" w:space="0"/>
              <w:left w:val="nil" w:color="B7C9DD" w:sz="8" w:space="0"/>
              <w:bottom w:val="nil" w:color="B7C9DD" w:sz="8" w:space="0"/>
              <w:right w:val="nil" w:color="B7C9DD" w:sz="8" w:space="0"/>
              <w:insideH w:val="nil"/>
              <w:insideV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</w:tr>
    </w:tbl>
    <w:p w14:paraId="7E806AB8">
      <w:pPr>
        <w:spacing w:after="0"/>
      </w:pPr>
      <w:r>
        <w:t>产业链与观察对象：行业主线通过数为0，仅保留市场宽度与已落盘事实</w:t>
      </w:r>
    </w:p>
    <w:tbl>
      <w:tblPr>
        <w:tblStyle w:val="33"/>
        <w:tblW w:w="0" w:type="auto"/>
        <w:jc w:val="center"/>
        <w:tblBorders>
          <w:top w:val="nil" w:color="auto" w:sz="4" w:space="0"/>
          <w:left w:val="nil" w:color="auto" w:sz="4" w:space="0"/>
          <w:bottom w:val="nil" w:color="auto" w:sz="4" w:space="0"/>
          <w:right w:val="nil" w:color="auto" w:sz="4" w:space="0"/>
          <w:insideH w:val="nil" w:color="auto" w:sz="4" w:space="0"/>
          <w:insideV w:val="nil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"/>
        <w:gridCol w:w="1020"/>
        <w:gridCol w:w="794"/>
        <w:gridCol w:w="3969"/>
        <w:gridCol w:w="2438"/>
      </w:tblGrid>
      <w:tr w14:paraId="10C35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exact"/>
          <w:jc w:val="center"/>
          <w:cantSplit/>
          <w:tblHeader w:val="true"/>
        </w:trPr>
        <w:tc>
          <w:tcPr>
            <w:tcW w:w="45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1020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79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3969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2438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</w:tr>
      <w:tr w14:paraId="72FD3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exact"/>
          <w:jc w:val="center"/>
          <w:cantSplit/>
        </w:trPr>
        <w:tc>
          <w:tcPr>
            <w:tcW w:w="45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1020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79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3969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2438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</w:tr>
      <w:tr w14:paraId="260A6B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exact"/>
          <w:jc w:val="center"/>
          <w:cantSplit/>
        </w:trPr>
        <w:tc>
          <w:tcPr>
            <w:tcW w:w="45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1020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vAlign w:val="center"/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79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vAlign w:val="center"/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3969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vAlign w:val="center"/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2438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vAlign w:val="center"/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</w:tr>
      <w:tr w14:paraId="19355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exact"/>
          <w:jc w:val="center"/>
          <w:cantSplit/>
        </w:trPr>
        <w:tc>
          <w:tcPr>
            <w:tcW w:w="45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1020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79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3969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2438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</w:tr>
      <w:tr w14:paraId="718E3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exact"/>
          <w:jc w:val="center"/>
          <w:cantSplit/>
        </w:trPr>
        <w:tc>
          <w:tcPr>
            <w:tcW w:w="45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1020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vAlign w:val="center"/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79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vAlign w:val="center"/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3969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vAlign w:val="center"/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2438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vAlign w:val="center"/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</w:tr>
      <w:tr w14:paraId="75E7E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exact"/>
          <w:jc w:val="center"/>
          <w:cantSplit/>
        </w:trPr>
        <w:tc>
          <w:tcPr>
            <w:tcW w:w="45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1020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79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3969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2438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</w:tr>
      <w:tr w14:paraId="1345C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exact"/>
          <w:jc w:val="center"/>
          <w:cantSplit/>
        </w:trPr>
        <w:tc>
          <w:tcPr>
            <w:tcW w:w="45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1020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vAlign w:val="center"/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79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vAlign w:val="center"/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3969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vAlign w:val="center"/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2438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vAlign w:val="center"/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</w:tr>
      <w:tr w14:paraId="549F8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exact"/>
          <w:jc w:val="center"/>
          <w:cantSplit/>
        </w:trPr>
        <w:tc>
          <w:tcPr>
            <w:tcW w:w="45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1020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79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3969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2438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</w:tr>
      <w:tr w14:paraId="38427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exact"/>
          <w:jc w:val="center"/>
          <w:cantSplit/>
        </w:trPr>
        <w:tc>
          <w:tcPr>
            <w:tcW w:w="45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1020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vAlign w:val="center"/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79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vAlign w:val="center"/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3969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vAlign w:val="center"/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2438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vAlign w:val="center"/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</w:tr>
      <w:tr w14:paraId="09CAA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exact"/>
          <w:jc w:val="center"/>
          <w:cantSplit/>
        </w:trPr>
        <w:tc>
          <w:tcPr>
            <w:tcW w:w="45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1020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794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3969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  <w:tc>
          <w:tcPr>
            <w:tcW w:w="2438" w:type="dxa"/>
            <w:tcBorders>
              <w:top w:val="nil" w:color="D9E2F3" w:sz="6" w:space="0"/>
              <w:left w:val="nil" w:color="D9E2F3" w:sz="6" w:space="0"/>
              <w:bottom w:val="nil" w:color="D9E2F3" w:sz="6" w:space="0"/>
              <w:right w:val="nil" w:color="D9E2F3" w:sz="6" w:space="0"/>
              <w:insideH w:val="nil"/>
              <w:insideV w:val="nil"/>
            </w:tcBorders>
            <w:shd w:val="clear" w:color="auto" w:fill="FFFFFF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vanish/>
                <w:sz w:val="2"/>
              </w:rPr>
            </w:r>
          </w:p>
        </w:tc>
      </w:tr>
    </w:tbl>
    <w:p w14:paraId="6E6F54F9">
      <w:pPr>
        <w:spacing w:after="0" w:before="0" w:line="20" w:lineRule="exact"/>
      </w:pPr>
      <w:r>
        <w:rPr>
          <w:vanish/>
          <w:sz w:val="2"/>
        </w:rPr>
      </w:r>
    </w:p>
    <w:p w14:paraId="7A263ECC">
      <w:pPr>
        <w:spacing w:before="100" w:after="40" w:line="259" w:lineRule="auto"/>
      </w:pPr>
      <w:r>
        <w:rPr>
          <w:rFonts w:ascii="微软雅黑" w:hAnsi="微软雅黑" w:eastAsia="微软雅黑"/>
          <w:b/>
          <w:color w:val="1F4E79"/>
          <w:sz w:val="30"/>
        </w:rPr>
        <w:t>四、参与者证据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2835"/>
        <w:gridCol w:w="2948"/>
        <w:gridCol w:w="2268"/>
      </w:tblGrid>
      <w:tr w14:paraId="50DCF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  <w:tblHeader w:val="true"/>
        </w:trPr>
        <w:tc>
          <w:tcPr>
            <w:tcW w:w="850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shd w:val="clear" w:color="auto" w:fill="1F4E79"/>
            <w:vAlign w:val="center"/>
          </w:tcPr>
          <w:p>
            <w:r>
              <w:t>参与者</w:t>
            </w:r>
          </w:p>
        </w:tc>
        <w:tc>
          <w:tcPr>
            <w:tcW w:w="2835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shd w:val="clear" w:color="auto" w:fill="1F4E79"/>
            <w:vAlign w:val="center"/>
          </w:tcPr>
          <w:p>
            <w:r>
              <w:t>可观察事实</w:t>
            </w:r>
          </w:p>
        </w:tc>
        <w:tc>
          <w:tcPr>
            <w:tcW w:w="2948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shd w:val="clear" w:color="auto" w:fill="1F4E79"/>
            <w:vAlign w:val="center"/>
          </w:tcPr>
          <w:p>
            <w:r>
              <w:t>一致或分歧</w:t>
            </w:r>
          </w:p>
        </w:tc>
        <w:tc>
          <w:tcPr>
            <w:tcW w:w="2268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shd w:val="clear" w:color="auto" w:fill="1F4E79"/>
            <w:vAlign w:val="center"/>
          </w:tcPr>
          <w:p>
            <w:r>
              <w:t>对结论影响</w:t>
            </w:r>
          </w:p>
        </w:tc>
      </w:tr>
      <w:tr w14:paraId="2F890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850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shd w:val="clear" w:color="auto" w:fill="D9EAF7"/>
            <w:vAlign w:val="center"/>
          </w:tcPr>
          <w:p>
            <w:r>
              <w:t>机构</w:t>
            </w:r>
          </w:p>
        </w:tc>
        <w:tc>
          <w:tcPr>
            <w:tcW w:w="2835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shd w:val="clear" w:color="auto" w:fill="F8FBFD"/>
            <w:vAlign w:val="center"/>
          </w:tcPr>
          <w:p>
            <w:r>
              <w:t>本轮没有可进入主线的独立样本</w:t>
            </w:r>
          </w:p>
        </w:tc>
        <w:tc>
          <w:tcPr>
            <w:tcW w:w="2948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shd w:val="clear" w:color="auto" w:fill="F8FBFD"/>
            <w:vAlign w:val="center"/>
          </w:tcPr>
          <w:p>
            <w:r>
              <w:t>不计入主线</w:t>
            </w:r>
          </w:p>
        </w:tc>
        <w:tc>
          <w:tcPr>
            <w:tcW w:w="2268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shd w:val="clear" w:color="auto" w:fill="F8FBFD"/>
            <w:vAlign w:val="center"/>
          </w:tcPr>
          <w:p>
            <w:r>
              <w:t>不提高也不降低结论强度</w:t>
            </w:r>
          </w:p>
        </w:tc>
      </w:tr>
      <w:tr w14:paraId="7E135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850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shd w:val="clear" w:color="auto" w:fill="D9EAF7"/>
            <w:vAlign w:val="center"/>
          </w:tcPr>
          <w:p>
            <w:r>
              <w:t>短线资金</w:t>
            </w:r>
          </w:p>
        </w:tc>
        <w:tc>
          <w:tcPr>
            <w:tcW w:w="2835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vAlign w:val="center"/>
          </w:tcPr>
          <w:p>
            <w:r>
              <w:t>本轮没有可进入主线的独立样本</w:t>
            </w:r>
          </w:p>
        </w:tc>
        <w:tc>
          <w:tcPr>
            <w:tcW w:w="2948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vAlign w:val="center"/>
          </w:tcPr>
          <w:p>
            <w:r>
              <w:t>不计入主线</w:t>
            </w:r>
          </w:p>
        </w:tc>
        <w:tc>
          <w:tcPr>
            <w:tcW w:w="2268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vAlign w:val="center"/>
          </w:tcPr>
          <w:p>
            <w:r>
              <w:t>不提高也不降低结论强度</w:t>
            </w:r>
          </w:p>
        </w:tc>
      </w:tr>
      <w:tr w14:paraId="68362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850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shd w:val="clear" w:color="auto" w:fill="D9EAF7"/>
            <w:vAlign w:val="center"/>
          </w:tcPr>
          <w:p>
            <w:r>
              <w:t>公开情绪样本</w:t>
            </w:r>
          </w:p>
        </w:tc>
        <w:tc>
          <w:tcPr>
            <w:tcW w:w="2835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shd w:val="clear" w:color="auto" w:fill="F8FBFD"/>
            <w:vAlign w:val="center"/>
          </w:tcPr>
          <w:p>
            <w:r>
              <w:t>本轮没有可进入主线的独立样本</w:t>
            </w:r>
          </w:p>
        </w:tc>
        <w:tc>
          <w:tcPr>
            <w:tcW w:w="2948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shd w:val="clear" w:color="auto" w:fill="F8FBFD"/>
            <w:vAlign w:val="center"/>
          </w:tcPr>
          <w:p>
            <w:r>
              <w:t>不计入主线</w:t>
            </w:r>
          </w:p>
        </w:tc>
        <w:tc>
          <w:tcPr>
            <w:tcW w:w="2268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shd w:val="clear" w:color="auto" w:fill="F8FBFD"/>
            <w:vAlign w:val="center"/>
          </w:tcPr>
          <w:p>
            <w:r>
              <w:t>不提高也不降低结论强度</w:t>
            </w:r>
          </w:p>
        </w:tc>
      </w:tr>
    </w:tbl>
    <w:p w14:paraId="15F74198">
      <w:pPr>
        <w:spacing w:after="0"/>
      </w:pPr>
      <w:r>
        <w:t>机构、短线资金与公开情绪样本分层呈现；补充站点不进入主线因果链</w:t>
      </w:r>
    </w:p>
    <w:p w14:paraId="3CF1BD39">
      <w:pPr>
        <w:spacing w:before="100" w:after="40" w:line="259" w:lineRule="auto"/>
      </w:pPr>
      <w:r>
        <w:rPr>
          <w:rFonts w:ascii="微软雅黑" w:hAnsi="微软雅黑" w:eastAsia="微软雅黑"/>
          <w:b/>
          <w:color w:val="1F4E79"/>
          <w:sz w:val="30"/>
        </w:rPr>
        <w:t>五、次日观察计划</w:t>
      </w:r>
    </w:p>
    <w:p w14:paraId="1B9A9588">
      <w:pPr>
        <w:spacing w:after="0" w:line="20" w:lineRule="exact" w:before="0"/>
      </w:pPr>
      <w:r>
        <w:rPr>
          <w:rFonts w:ascii="微软雅黑" w:hAnsi="微软雅黑" w:eastAsia="微软雅黑"/>
          <w:b w:val="0"/>
          <w:vanish/>
          <w:sz w:val="2"/>
        </w:rPr>
      </w:r>
    </w:p>
    <w:p w14:paraId="0ED26F07">
      <w:pPr>
        <w:spacing w:after="0" w:line="20" w:lineRule="exact" w:before="0"/>
      </w:pPr>
      <w:r>
        <w:rPr>
          <w:rFonts w:ascii="微软雅黑" w:hAnsi="微软雅黑" w:eastAsia="微软雅黑"/>
          <w:b w:val="0"/>
          <w:vanish/>
          <w:sz w:val="2"/>
        </w:rPr>
      </w:r>
    </w:p>
    <w:p w14:paraId="169D7DD1">
      <w:pPr>
        <w:spacing w:after="0" w:line="20" w:lineRule="exact" w:before="0"/>
      </w:pPr>
      <w:r>
        <w:rPr>
          <w:rFonts w:ascii="微软雅黑" w:hAnsi="微软雅黑" w:eastAsia="微软雅黑"/>
          <w:b w:val="0"/>
          <w:vanish/>
          <w:sz w:val="2"/>
        </w:rPr>
      </w:r>
    </w:p>
    <w:p w14:paraId="72EE1BDB">
      <w:pPr>
        <w:pStyle w:val="16"/>
        <w:spacing w:after="20" w:line="252" w:lineRule="auto"/>
      </w:pPr>
      <w:r>
        <w:rPr>
          <w:rFonts w:ascii="微软雅黑" w:hAnsi="微软雅黑" w:eastAsia="微软雅黑"/>
          <w:b w:val="0"/>
          <w:sz w:val="19"/>
        </w:rPr>
        <w:t>市场宽度：8月12日上涨3860家、下跌1217家，上涨占比76.0%，个股普涨、结构分化</w:t>
      </w:r>
    </w:p>
    <w:p w14:paraId="0711838D">
      <w:pPr>
        <w:spacing w:before="100" w:after="40" w:line="259" w:lineRule="auto"/>
      </w:pPr>
      <w:r>
        <w:rPr>
          <w:rFonts w:ascii="微软雅黑" w:hAnsi="微软雅黑" w:eastAsia="微软雅黑"/>
          <w:b/>
          <w:color w:val="1F4E79"/>
          <w:sz w:val="30"/>
        </w:rPr>
        <w:t>六、风险边界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1"/>
        <w:gridCol w:w="7710"/>
      </w:tblGrid>
      <w:tr w14:paraId="3EAF6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  <w:tblHeader w:val="true"/>
        </w:trPr>
        <w:tc>
          <w:tcPr>
            <w:tcW w:w="1361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shd w:val="clear" w:color="auto" w:fill="1F4E79"/>
            <w:vAlign w:val="center"/>
          </w:tcPr>
          <w:p>
            <w:r>
              <w:t>结论检验</w:t>
            </w:r>
          </w:p>
        </w:tc>
        <w:tc>
          <w:tcPr>
            <w:tcW w:w="7710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shd w:val="clear" w:color="auto" w:fill="1F4E79"/>
            <w:vAlign w:val="center"/>
          </w:tcPr>
          <w:p>
            <w:r>
              <w:t>判断依据</w:t>
            </w:r>
          </w:p>
        </w:tc>
      </w:tr>
      <w:tr w14:paraId="0736D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361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shd w:val="clear" w:color="auto" w:fill="D9EAF7"/>
            <w:vAlign w:val="center"/>
          </w:tcPr>
          <w:p>
            <w:r>
              <w:t>核心结论</w:t>
            </w:r>
          </w:p>
        </w:tc>
        <w:tc>
          <w:tcPr>
            <w:tcW w:w="7710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shd w:val="clear" w:color="auto" w:fill="F8FBFD"/>
            <w:vAlign w:val="center"/>
          </w:tcPr>
          <w:p>
            <w:r>
              <w:t>8月12日全市场上涨家数3860、下跌家数1217、上涨占比76.0%，个股普涨、结构分化；达到三重证据标准的行业因果主线为0条</w:t>
            </w:r>
          </w:p>
        </w:tc>
      </w:tr>
      <w:tr w14:paraId="094FC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361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shd w:val="clear" w:color="auto" w:fill="D9EAF7"/>
            <w:vAlign w:val="center"/>
          </w:tcPr>
          <w:p>
            <w:r>
              <w:t>证据闭环</w:t>
            </w:r>
          </w:p>
        </w:tc>
        <w:tc>
          <w:tcPr>
            <w:tcW w:w="7710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vAlign w:val="center"/>
          </w:tcPr>
          <w:p>
            <w:r>
              <w:t>触发事实0条、盘面确认0条、参与者确认0条</w:t>
            </w:r>
          </w:p>
        </w:tc>
      </w:tr>
      <w:tr w14:paraId="4D12A9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361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shd w:val="clear" w:color="auto" w:fill="D9EAF7"/>
            <w:vAlign w:val="center"/>
          </w:tcPr>
          <w:p>
            <w:r>
              <w:t>最大反证</w:t>
            </w:r>
          </w:p>
        </w:tc>
        <w:tc>
          <w:tcPr>
            <w:tcW w:w="7710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shd w:val="clear" w:color="auto" w:fill="F8FBFD"/>
            <w:vAlign w:val="center"/>
          </w:tcPr>
          <w:p>
            <w:r>
              <w:t>未通过三重证据标准的事件不进入行业结论</w:t>
            </w:r>
          </w:p>
        </w:tc>
      </w:tr>
      <w:tr w14:paraId="75632C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361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shd w:val="clear" w:color="auto" w:fill="D9EAF7"/>
            <w:vAlign w:val="center"/>
          </w:tcPr>
          <w:p>
            <w:r>
              <w:t>次日观察</w:t>
            </w:r>
          </w:p>
        </w:tc>
        <w:tc>
          <w:tcPr>
            <w:tcW w:w="7710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vAlign w:val="center"/>
          </w:tcPr>
          <w:p>
            <w:r>
              <w:t>继续核验新触发事实是否同时获得盘面与参与者确认</w:t>
            </w:r>
          </w:p>
        </w:tc>
      </w:tr>
    </w:tbl>
    <w:p w14:paraId="668D19F2">
      <w:pPr>
        <w:spacing w:after="0"/>
      </w:pPr>
      <w:r>
        <w:t>本报告仅用于公开市场研究，不构成收益承诺或交易指令</w:t>
      </w:r>
    </w:p>
    <w:p w14:paraId="32A2A87E">
      <w:pPr>
        <w:spacing w:before="0" w:after="0" w:line="20" w:lineRule="exact"/>
      </w:pPr>
      <w:r>
        <w:rPr>
          <w:rFonts w:ascii="微软雅黑" w:hAnsi="微软雅黑" w:eastAsia="微软雅黑"/>
          <w:b w:val="0"/>
          <w:vanish/>
          <w:color w:val="666666"/>
          <w:sz w:val="2"/>
        </w:rPr>
        <w:t xml:space="preserve"> </w:t>
      </w:r>
    </w:p>
    <w:sectPr>
      <w:pgSz w:w="12240" w:h="15840"/>
      <w:pgMar w:top="652" w:right="652" w:bottom="624" w:left="6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DB32E1B"/>
    <w:rsid w:val="3D462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3321</Words>
  <Characters>3592</Characters>
  <Lines>0</Lines>
  <Paragraphs>0</Paragraphs>
  <TotalTime>97</TotalTime>
  <ScaleCrop>false</ScaleCrop>
  <LinksUpToDate>false</LinksUpToDate>
  <CharactersWithSpaces>3715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于归</cp:lastModifiedBy>
  <dcterms:modified xsi:type="dcterms:W3CDTF">2026-07-01T03:15:09Z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85EE518196374D97AB8D13F88894B5AF_13</vt:lpwstr>
  </property>
</Properties>
</file>