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CivicCast Standalone Adoption Plan</w:t>
      </w:r>
    </w:p>
    <w:bookmarkStart w:id="36" w:name="X8c5f3f51f30b379f606161bf4290f6803198f13"/>
    <w:p>
      <w:pPr>
        <w:pStyle w:val="Heading1"/>
      </w:pPr>
      <w:r>
        <w:t xml:space="preserve">CivicCast Standalone Adoption Plan, v1.4-v1.7</w:t>
      </w:r>
    </w:p>
    <w:p>
      <w:pPr>
        <w:pStyle w:val="FirstParagraph"/>
      </w:pPr>
      <w:r>
        <w:t xml:space="preserve">Status: draft operating plan</w:t>
      </w:r>
      <w:r>
        <w:t xml:space="preserve"> </w:t>
      </w:r>
      <w:r>
        <w:t xml:space="preserve">Created: 2026-05-30</w:t>
      </w:r>
      <w:r>
        <w:t xml:space="preserve"> </w:t>
      </w:r>
      <w:r>
        <w:t xml:space="preserve">Current baseline: v1.3.1 private beta Windows installer proof</w:t>
      </w:r>
      <w:r>
        <w:t xml:space="preserve"> </w:t>
      </w:r>
      <w:r>
        <w:t xml:space="preserve">Target: v1.7 announcement and early adoption readiness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plan turns the current standalone CivicCast target list into four focused</w:t>
      </w:r>
      <w:r>
        <w:t xml:space="preserve"> </w:t>
      </w:r>
      <w:r>
        <w:t xml:space="preserve">development releases. It intentionally excludes CivicSuite integration, broad</w:t>
      </w:r>
      <w:r>
        <w:t xml:space="preserve"> </w:t>
      </w:r>
      <w:r>
        <w:t xml:space="preserve">governance/adoption logistics, and hardware work that CivicCast cannot directly</w:t>
      </w:r>
      <w:r>
        <w:t xml:space="preserve"> </w:t>
      </w:r>
      <w:r>
        <w:t xml:space="preserve">ship in software. It keeps the software work required to become a serious</w:t>
      </w:r>
      <w:r>
        <w:t xml:space="preserve"> </w:t>
      </w:r>
      <w:r>
        <w:t xml:space="preserve">open-source alternative for public meetings, community media, worship/nonprofit</w:t>
      </w:r>
      <w:r>
        <w:t xml:space="preserve"> </w:t>
      </w:r>
      <w:r>
        <w:t xml:space="preserve">streaming, and PEG-style channel operations.</w:t>
      </w:r>
    </w:p>
    <w:p>
      <w:pPr>
        <w:pStyle w:val="BodyText"/>
      </w:pPr>
      <w:r>
        <w:t xml:space="preserve">The v1.7 bar is not</w:t>
      </w:r>
      <w:r>
        <w:t xml:space="preserve"> </w:t>
      </w:r>
      <w:r>
        <w:t xml:space="preserve">“everything forever.”</w:t>
      </w:r>
      <w:r>
        <w:t xml:space="preserve"> </w:t>
      </w:r>
      <w:r>
        <w:t xml:space="preserve">The v1.7 bar is: a nontechnical</w:t>
      </w:r>
      <w:r>
        <w:t xml:space="preserve"> </w:t>
      </w:r>
      <w:r>
        <w:t xml:space="preserve">station can install CivicCast, prove core publication paths, operate meetings</w:t>
      </w:r>
      <w:r>
        <w:t xml:space="preserve"> </w:t>
      </w:r>
      <w:r>
        <w:t xml:space="preserve">and channel-style programming, recover from common failure modes, understand</w:t>
      </w:r>
      <w:r>
        <w:t xml:space="preserve"> </w:t>
      </w:r>
      <w:r>
        <w:t xml:space="preserve">legal/procurement posture, and invite early adopters without making claims the</w:t>
      </w:r>
      <w:r>
        <w:t xml:space="preserve"> </w:t>
      </w:r>
      <w:r>
        <w:t xml:space="preserve">software has not proven.</w:t>
      </w:r>
    </w:p>
    <w:bookmarkEnd w:id="9"/>
    <w:bookmarkStart w:id="10" w:name="baseline-what-v1.3.1-already-proves"/>
    <w:p>
      <w:pPr>
        <w:pStyle w:val="Heading2"/>
      </w:pPr>
      <w:r>
        <w:t xml:space="preserve">Baseline: What v1.3.1 Already Proves</w:t>
      </w:r>
    </w:p>
    <w:p>
      <w:pPr>
        <w:pStyle w:val="FirstParagraph"/>
      </w:pPr>
      <w:r>
        <w:t xml:space="preserve">v1.3.1 is the private beta installer finish release.</w:t>
      </w:r>
    </w:p>
    <w:p>
      <w:pPr>
        <w:pStyle w:val="Compact"/>
        <w:numPr>
          <w:ilvl w:val="0"/>
          <w:numId w:val="1001"/>
        </w:numPr>
      </w:pPr>
      <w:r>
        <w:t xml:space="preserve">GitHub Release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is the preferred installer artifact.</w:t>
      </w:r>
    </w:p>
    <w:p>
      <w:pPr>
        <w:pStyle w:val="Compact"/>
        <w:numPr>
          <w:ilvl w:val="0"/>
          <w:numId w:val="1001"/>
        </w:numPr>
      </w:pPr>
      <w:r>
        <w:t xml:space="preserve">Checksum verification passed on the Windows tester.</w:t>
      </w:r>
    </w:p>
    <w:p>
      <w:pPr>
        <w:pStyle w:val="Compact"/>
        <w:numPr>
          <w:ilvl w:val="0"/>
          <w:numId w:val="1001"/>
        </w:numPr>
      </w:pPr>
      <w:r>
        <w:t xml:space="preserve">Windows installer, runtime launch, and first-run setup passed.</w:t>
      </w:r>
    </w:p>
    <w:p>
      <w:pPr>
        <w:pStyle w:val="Compact"/>
        <w:numPr>
          <w:ilvl w:val="0"/>
          <w:numId w:val="1001"/>
        </w:numPr>
      </w:pPr>
      <w:r>
        <w:t xml:space="preserve">First admin, recovery kit, storage bootstrap, private rehearsal, resident</w:t>
      </w:r>
      <w:r>
        <w:t xml:space="preserve"> </w:t>
      </w:r>
      <w:r>
        <w:t xml:space="preserve">preview, backup/restore rehearsal, and support bundle passed.</w:t>
      </w:r>
    </w:p>
    <w:p>
      <w:pPr>
        <w:pStyle w:val="Compact"/>
        <w:numPr>
          <w:ilvl w:val="0"/>
          <w:numId w:val="1001"/>
        </w:numPr>
      </w:pPr>
      <w:r>
        <w:t xml:space="preserve">Provider lanes remain fail-closed unless proven.</w:t>
      </w:r>
    </w:p>
    <w:p>
      <w:pPr>
        <w:pStyle w:val="Compact"/>
        <w:numPr>
          <w:ilvl w:val="0"/>
          <w:numId w:val="1001"/>
        </w:numPr>
      </w:pPr>
      <w:r>
        <w:t xml:space="preserve">Public distribution, signing posture, live external-provider proof, granular</w:t>
      </w:r>
      <w:r>
        <w:t xml:space="preserve"> </w:t>
      </w:r>
      <w:r>
        <w:t xml:space="preserve">roles, full restore, update/rollback, linear-channel operations, and connected</w:t>
      </w:r>
      <w:r>
        <w:t xml:space="preserve"> </w:t>
      </w:r>
      <w:r>
        <w:t xml:space="preserve">TV platform support remain ahead.</w:t>
      </w:r>
    </w:p>
    <w:bookmarkEnd w:id="10"/>
    <w:bookmarkStart w:id="11" w:name="release-strategy"/>
    <w:p>
      <w:pPr>
        <w:pStyle w:val="Heading2"/>
      </w:pPr>
      <w:r>
        <w:t xml:space="preserve">Release Strategy</w:t>
      </w:r>
    </w:p>
    <w:p>
      <w:pPr>
        <w:pStyle w:val="FirstParagraph"/>
      </w:pPr>
      <w:r>
        <w:t xml:space="preserve">The next four releases should each produce a release artifact, release notes,</w:t>
      </w:r>
      <w:r>
        <w:t xml:space="preserve"> </w:t>
      </w:r>
      <w:r>
        <w:t xml:space="preserve">proof evidence, and a clear claim boundary.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Public framing</w:t>
            </w:r>
          </w:p>
        </w:tc>
        <w:tc>
          <w:tcPr/>
          <w:p>
            <w:pPr>
              <w:pStyle w:val="Compact"/>
            </w:pPr>
            <w:r>
              <w:t xml:space="preserve">Core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Operations beta</w:t>
            </w:r>
          </w:p>
        </w:tc>
        <w:tc>
          <w:tcPr/>
          <w:p>
            <w:pPr>
              <w:pStyle w:val="Compact"/>
            </w:pPr>
            <w:r>
              <w:t xml:space="preserve">Provider proof workflow and role-aware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Resilience beta</w:t>
            </w:r>
          </w:p>
        </w:tc>
        <w:tc>
          <w:tcPr/>
          <w:p>
            <w:pPr>
              <w:pStyle w:val="Compact"/>
            </w:pPr>
            <w:r>
              <w:t xml:space="preserve">Full restore, update/rollback, and stronger quality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</w:t>
            </w:r>
          </w:p>
        </w:tc>
        <w:tc>
          <w:tcPr/>
          <w:p>
            <w:pPr>
              <w:pStyle w:val="Compact"/>
            </w:pPr>
            <w:r>
              <w:t xml:space="preserve">Channel and CTV beta</w:t>
            </w:r>
          </w:p>
        </w:tc>
        <w:tc>
          <w:tcPr/>
          <w:p>
            <w:pPr>
              <w:pStyle w:val="Compact"/>
            </w:pPr>
            <w:r>
              <w:t xml:space="preserve">Cablecast-style software channel operations and Roku/reference CTV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v1.7</w:t>
            </w:r>
          </w:p>
        </w:tc>
        <w:tc>
          <w:tcPr/>
          <w:p>
            <w:pPr>
              <w:pStyle w:val="Compact"/>
            </w:pPr>
            <w:r>
              <w:t xml:space="preserve">Early adoption candidate</w:t>
            </w:r>
          </w:p>
        </w:tc>
        <w:tc>
          <w:tcPr/>
          <w:p>
            <w:pPr>
              <w:pStyle w:val="Compact"/>
            </w:pPr>
            <w:r>
              <w:t xml:space="preserve">Public-facing docs, procurement/legal posture, support intake, and adoption-ready proof bundle</w:t>
            </w:r>
          </w:p>
        </w:tc>
      </w:tr>
    </w:tbl>
    <w:bookmarkEnd w:id="11"/>
    <w:bookmarkStart w:id="12" w:name="non-goals-across-all-four-releases"/>
    <w:p>
      <w:pPr>
        <w:pStyle w:val="Heading2"/>
      </w:pPr>
      <w:r>
        <w:t xml:space="preserve">Non-Goals Across All Four Releases</w:t>
      </w:r>
    </w:p>
    <w:p>
      <w:pPr>
        <w:pStyle w:val="Compact"/>
        <w:numPr>
          <w:ilvl w:val="0"/>
          <w:numId w:val="1002"/>
        </w:numPr>
      </w:pPr>
      <w:r>
        <w:t xml:space="preserve">Hosted or managed CivicCast service.</w:t>
      </w:r>
    </w:p>
    <w:p>
      <w:pPr>
        <w:pStyle w:val="Compact"/>
        <w:numPr>
          <w:ilvl w:val="0"/>
          <w:numId w:val="1002"/>
        </w:numPr>
      </w:pPr>
      <w:r>
        <w:t xml:space="preserve">CivicSuite integration.</w:t>
      </w:r>
    </w:p>
    <w:p>
      <w:pPr>
        <w:pStyle w:val="Compact"/>
        <w:numPr>
          <w:ilvl w:val="0"/>
          <w:numId w:val="1002"/>
        </w:numPr>
      </w:pPr>
      <w:r>
        <w:t xml:space="preserve">Enterprise SSO.</w:t>
      </w:r>
    </w:p>
    <w:p>
      <w:pPr>
        <w:pStyle w:val="Compact"/>
        <w:numPr>
          <w:ilvl w:val="0"/>
          <w:numId w:val="1002"/>
        </w:numPr>
      </w:pPr>
      <w:r>
        <w:t xml:space="preserve">Claims of broad public fediverse interoperability before target-instance</w:t>
      </w:r>
      <w:r>
        <w:t xml:space="preserve"> </w:t>
      </w:r>
      <w:r>
        <w:t xml:space="preserve">proof exists.</w:t>
      </w:r>
    </w:p>
    <w:p>
      <w:pPr>
        <w:pStyle w:val="Compact"/>
        <w:numPr>
          <w:ilvl w:val="0"/>
          <w:numId w:val="1002"/>
        </w:numPr>
      </w:pPr>
      <w:r>
        <w:t xml:space="preserve">Claims of SDI, DeckLink, or headend hardware compatibility before partner</w:t>
      </w:r>
      <w:r>
        <w:t xml:space="preserve"> </w:t>
      </w:r>
      <w:r>
        <w:t xml:space="preserve">proof exists.</w:t>
      </w:r>
    </w:p>
    <w:p>
      <w:pPr>
        <w:pStyle w:val="Compact"/>
        <w:numPr>
          <w:ilvl w:val="0"/>
          <w:numId w:val="1002"/>
        </w:numPr>
      </w:pPr>
      <w:r>
        <w:t xml:space="preserve">Silent cloud fallback for AI or provider lanes.</w:t>
      </w:r>
    </w:p>
    <w:p>
      <w:pPr>
        <w:pStyle w:val="Compact"/>
        <w:numPr>
          <w:ilvl w:val="0"/>
          <w:numId w:val="1002"/>
        </w:numPr>
      </w:pPr>
      <w:r>
        <w:t xml:space="preserve">Rewriting working modules just to match the spec’s future multi-repo topology.</w:t>
      </w:r>
    </w:p>
    <w:bookmarkEnd w:id="12"/>
    <w:bookmarkStart w:id="17" w:name="v1.4-operations-beta"/>
    <w:p>
      <w:pPr>
        <w:pStyle w:val="Heading2"/>
      </w:pPr>
      <w:r>
        <w:t xml:space="preserve">v1.4: Operations Beta</w:t>
      </w:r>
    </w:p>
    <w:bookmarkStart w:id="13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Turn the v1.3.1 installer-first private beta into an operations beta by proving</w:t>
      </w:r>
      <w:r>
        <w:t xml:space="preserve"> </w:t>
      </w:r>
      <w:r>
        <w:t xml:space="preserve">selected external provider lanes and separating common station responsibilities</w:t>
      </w:r>
      <w:r>
        <w:t xml:space="preserve"> </w:t>
      </w:r>
      <w:r>
        <w:t xml:space="preserve">inside the operator console.</w:t>
      </w:r>
    </w:p>
    <w:bookmarkEnd w:id="13"/>
    <w:bookmarkStart w:id="14" w:name="required-outcomes"/>
    <w:p>
      <w:pPr>
        <w:pStyle w:val="Heading3"/>
      </w:pPr>
      <w:r>
        <w:t xml:space="preserve">Required Outcomes</w:t>
      </w:r>
    </w:p>
    <w:p>
      <w:pPr>
        <w:pStyle w:val="Compact"/>
        <w:numPr>
          <w:ilvl w:val="0"/>
          <w:numId w:val="1003"/>
        </w:numPr>
      </w:pPr>
      <w:r>
        <w:t xml:space="preserve">Controlled provider proof lane.</w:t>
      </w:r>
    </w:p>
    <w:p>
      <w:pPr>
        <w:pStyle w:val="Compact"/>
        <w:numPr>
          <w:ilvl w:val="1"/>
          <w:numId w:val="1004"/>
        </w:numPr>
      </w:pPr>
      <w:r>
        <w:t xml:space="preserve">Choose a first live-provider proof set from Internet Archive, local NAS,</w:t>
      </w:r>
      <w:r>
        <w:t xml:space="preserve"> </w:t>
      </w:r>
      <w:r>
        <w:t xml:space="preserve">YouTube private/unlisted, email/webhook notifications, podcast feed</w:t>
      </w:r>
      <w:r>
        <w:t xml:space="preserve"> </w:t>
      </w:r>
      <w:r>
        <w:t xml:space="preserve">discovery, and ActivityPub target-instance proof.</w:t>
      </w:r>
    </w:p>
    <w:p>
      <w:pPr>
        <w:pStyle w:val="Compact"/>
        <w:numPr>
          <w:ilvl w:val="1"/>
          <w:numId w:val="1004"/>
        </w:numPr>
      </w:pPr>
      <w:r>
        <w:t xml:space="preserve">Record redacted durable evidence for each live pass.</w:t>
      </w:r>
    </w:p>
    <w:p>
      <w:pPr>
        <w:pStyle w:val="Compact"/>
        <w:numPr>
          <w:ilvl w:val="1"/>
          <w:numId w:val="1004"/>
        </w:numPr>
      </w:pPr>
      <w:r>
        <w:t xml:space="preserve">Keep unproven providers out of release claims.</w:t>
      </w:r>
    </w:p>
    <w:p>
      <w:pPr>
        <w:pStyle w:val="Compact"/>
        <w:numPr>
          <w:ilvl w:val="0"/>
          <w:numId w:val="1003"/>
        </w:numPr>
      </w:pPr>
      <w:r>
        <w:t xml:space="preserve">Provider proof workflow.</w:t>
      </w:r>
    </w:p>
    <w:p>
      <w:pPr>
        <w:pStyle w:val="Compact"/>
        <w:numPr>
          <w:ilvl w:val="1"/>
          <w:numId w:val="1005"/>
        </w:numPr>
      </w:pPr>
      <w:r>
        <w:t xml:space="preserve">Setup and System Health guide operators from</w:t>
      </w:r>
      <w:r>
        <w:t xml:space="preserve"> </w:t>
      </w:r>
      <w:r>
        <w:t xml:space="preserve">“credentials saved”</w:t>
      </w:r>
      <w:r>
        <w:t xml:space="preserve"> </w:t>
      </w:r>
      <w:r>
        <w:t xml:space="preserve">to</w:t>
      </w:r>
      <w:r>
        <w:t xml:space="preserve"> </w:t>
      </w:r>
      <w:r>
        <w:t xml:space="preserve">“controlled proof passed.”</w:t>
      </w:r>
    </w:p>
    <w:p>
      <w:pPr>
        <w:pStyle w:val="Compact"/>
        <w:numPr>
          <w:ilvl w:val="1"/>
          <w:numId w:val="1005"/>
        </w:numPr>
      </w:pPr>
      <w:r>
        <w:t xml:space="preserve">Include prove now, retry, skip, rotate, stale-proof warning, and redaction</w:t>
      </w:r>
      <w:r>
        <w:t xml:space="preserve"> </w:t>
      </w:r>
      <w:r>
        <w:t xml:space="preserve">review paths.</w:t>
      </w:r>
    </w:p>
    <w:p>
      <w:pPr>
        <w:pStyle w:val="Compact"/>
        <w:numPr>
          <w:ilvl w:val="1"/>
          <w:numId w:val="1005"/>
        </w:numPr>
      </w:pPr>
      <w:r>
        <w:t xml:space="preserve">Show plain-English operator errors.</w:t>
      </w:r>
    </w:p>
    <w:p>
      <w:pPr>
        <w:pStyle w:val="Compact"/>
        <w:numPr>
          <w:ilvl w:val="0"/>
          <w:numId w:val="1003"/>
        </w:numPr>
      </w:pPr>
      <w:r>
        <w:t xml:space="preserve">Granular local roles.</w:t>
      </w:r>
    </w:p>
    <w:p>
      <w:pPr>
        <w:pStyle w:val="Compact"/>
        <w:numPr>
          <w:ilvl w:val="1"/>
          <w:numId w:val="1006"/>
        </w:numPr>
      </w:pPr>
      <w:r>
        <w:t xml:space="preserve">Add setup/admin, meeting operator, records clerk, publish operator, and</w:t>
      </w:r>
      <w:r>
        <w:t xml:space="preserve"> </w:t>
      </w:r>
      <w:r>
        <w:t xml:space="preserve">support/admin roles.</w:t>
      </w:r>
    </w:p>
    <w:p>
      <w:pPr>
        <w:pStyle w:val="Compact"/>
        <w:numPr>
          <w:ilvl w:val="1"/>
          <w:numId w:val="1006"/>
        </w:numPr>
      </w:pPr>
      <w:r>
        <w:t xml:space="preserve">Enforce roles in backend routes and visible UI actions.</w:t>
      </w:r>
    </w:p>
    <w:p>
      <w:pPr>
        <w:pStyle w:val="Compact"/>
        <w:numPr>
          <w:ilvl w:val="1"/>
          <w:numId w:val="1006"/>
        </w:numPr>
      </w:pPr>
      <w:r>
        <w:t xml:space="preserve">Keep read-only handoff views where helpful.</w:t>
      </w:r>
    </w:p>
    <w:p>
      <w:pPr>
        <w:pStyle w:val="Compact"/>
        <w:numPr>
          <w:ilvl w:val="0"/>
          <w:numId w:val="1003"/>
        </w:numPr>
      </w:pPr>
      <w:r>
        <w:t xml:space="preserve">Observed beta walkthroughs.</w:t>
      </w:r>
    </w:p>
    <w:p>
      <w:pPr>
        <w:pStyle w:val="Compact"/>
        <w:numPr>
          <w:ilvl w:val="1"/>
          <w:numId w:val="1007"/>
        </w:numPr>
      </w:pPr>
      <w:r>
        <w:t xml:space="preserve">Run at least one nontechnical operator walkthrough.</w:t>
      </w:r>
    </w:p>
    <w:p>
      <w:pPr>
        <w:pStyle w:val="Compact"/>
        <w:numPr>
          <w:ilvl w:val="1"/>
          <w:numId w:val="1007"/>
        </w:numPr>
      </w:pPr>
      <w:r>
        <w:t xml:space="preserve">Run at least one technical-admin walkthrough.</w:t>
      </w:r>
    </w:p>
    <w:p>
      <w:pPr>
        <w:pStyle w:val="Compact"/>
        <w:numPr>
          <w:ilvl w:val="1"/>
          <w:numId w:val="1007"/>
        </w:numPr>
      </w:pPr>
      <w:r>
        <w:t xml:space="preserve">Convert friction into product fixes, documentation fixes, or regression</w:t>
      </w:r>
      <w:r>
        <w:t xml:space="preserve"> </w:t>
      </w:r>
      <w:r>
        <w:t xml:space="preserve">tests before release.</w:t>
      </w:r>
    </w:p>
    <w:bookmarkEnd w:id="14"/>
    <w:bookmarkStart w:id="15" w:name="likely-work-areas"/>
    <w:p>
      <w:pPr>
        <w:pStyle w:val="Heading3"/>
      </w:pPr>
      <w:r>
        <w:t xml:space="preserve">Likely Work Areas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civiccast/auth/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civiccast/installer/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civiccast/publish/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civiccast/schedule/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civiccast/apps/portal-operator/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civiccast/apps/portal-public/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tests/installer/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tests/publish/</w:t>
      </w:r>
    </w:p>
    <w:p>
      <w:pPr>
        <w:pStyle w:val="Compact"/>
        <w:numPr>
          <w:ilvl w:val="0"/>
          <w:numId w:val="1008"/>
        </w:numPr>
      </w:pPr>
      <w:r>
        <w:t xml:space="preserve">operator Playwright tests</w:t>
      </w:r>
    </w:p>
    <w:p>
      <w:pPr>
        <w:pStyle w:val="Compact"/>
        <w:numPr>
          <w:ilvl w:val="0"/>
          <w:numId w:val="1008"/>
        </w:numPr>
      </w:pPr>
      <w:r>
        <w:t xml:space="preserve">docs and release evidence</w:t>
      </w:r>
    </w:p>
    <w:bookmarkEnd w:id="15"/>
    <w:bookmarkStart w:id="16" w:name="v1.4-exit-criteria"/>
    <w:p>
      <w:pPr>
        <w:pStyle w:val="Heading3"/>
      </w:pPr>
      <w:r>
        <w:t xml:space="preserve">v1.4 Exit Criteria</w:t>
      </w:r>
    </w:p>
    <w:p>
      <w:pPr>
        <w:pStyle w:val="Compact"/>
        <w:numPr>
          <w:ilvl w:val="0"/>
          <w:numId w:val="1009"/>
        </w:numPr>
      </w:pPr>
      <w:r>
        <w:t xml:space="preserve">At least one external provider proof set passes from a controlled live run.</w:t>
      </w:r>
    </w:p>
    <w:p>
      <w:pPr>
        <w:pStyle w:val="Compact"/>
        <w:numPr>
          <w:ilvl w:val="0"/>
          <w:numId w:val="1009"/>
        </w:numPr>
      </w:pPr>
      <w:r>
        <w:t xml:space="preserve">Provider readiness remains fail-closed until proof evidence exists.</w:t>
      </w:r>
    </w:p>
    <w:p>
      <w:pPr>
        <w:pStyle w:val="Compact"/>
        <w:numPr>
          <w:ilvl w:val="0"/>
          <w:numId w:val="1009"/>
        </w:numPr>
      </w:pPr>
      <w:r>
        <w:t xml:space="preserve">Secret leakage review passes for provider proof and support artifacts.</w:t>
      </w:r>
    </w:p>
    <w:p>
      <w:pPr>
        <w:pStyle w:val="Compact"/>
        <w:numPr>
          <w:ilvl w:val="0"/>
          <w:numId w:val="1009"/>
        </w:numPr>
      </w:pPr>
      <w:r>
        <w:t xml:space="preserve">Backend role enforcement tests pass for touched staff APIs.</w:t>
      </w:r>
    </w:p>
    <w:p>
      <w:pPr>
        <w:pStyle w:val="Compact"/>
        <w:numPr>
          <w:ilvl w:val="0"/>
          <w:numId w:val="1009"/>
        </w:numPr>
      </w:pPr>
      <w:r>
        <w:t xml:space="preserve">Operator-console tests cover at least one restricted role workflow.</w:t>
      </w:r>
    </w:p>
    <w:p>
      <w:pPr>
        <w:pStyle w:val="Compact"/>
        <w:numPr>
          <w:ilvl w:val="0"/>
          <w:numId w:val="1009"/>
        </w:numPr>
      </w:pPr>
      <w:r>
        <w:t xml:space="preserve">Docs clearly distinguish credentials configured, proof pending, proof passed,</w:t>
      </w:r>
      <w:r>
        <w:t xml:space="preserve"> </w:t>
      </w:r>
      <w:r>
        <w:t xml:space="preserve">skipped, failed, and stale proof states.</w:t>
      </w:r>
    </w:p>
    <w:bookmarkEnd w:id="16"/>
    <w:bookmarkEnd w:id="17"/>
    <w:bookmarkStart w:id="22" w:name="v1.5-resilience-beta"/>
    <w:p>
      <w:pPr>
        <w:pStyle w:val="Heading2"/>
      </w:pPr>
      <w:r>
        <w:t xml:space="preserve">v1.5: Resilience Beta</w:t>
      </w:r>
    </w:p>
    <w:bookmarkStart w:id="18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Make CivicCast resilient enough for real station operation by proving full</w:t>
      </w:r>
      <w:r>
        <w:t xml:space="preserve"> </w:t>
      </w:r>
      <w:r>
        <w:t xml:space="preserve">restore, safe update, rollback, and broader quality gates.</w:t>
      </w:r>
    </w:p>
    <w:bookmarkEnd w:id="18"/>
    <w:bookmarkStart w:id="19" w:name="required-outcomes-1"/>
    <w:p>
      <w:pPr>
        <w:pStyle w:val="Heading3"/>
      </w:pPr>
      <w:r>
        <w:t xml:space="preserve">Required Outcomes</w:t>
      </w:r>
    </w:p>
    <w:p>
      <w:pPr>
        <w:pStyle w:val="Compact"/>
        <w:numPr>
          <w:ilvl w:val="0"/>
          <w:numId w:val="1010"/>
        </w:numPr>
      </w:pPr>
      <w:r>
        <w:t xml:space="preserve">Full restore proof.</w:t>
      </w:r>
    </w:p>
    <w:p>
      <w:pPr>
        <w:pStyle w:val="Compact"/>
        <w:numPr>
          <w:ilvl w:val="1"/>
          <w:numId w:val="1011"/>
        </w:numPr>
      </w:pPr>
      <w:r>
        <w:t xml:space="preserve">Backup DB, media, config, station profile, schedules, captions, records,</w:t>
      </w:r>
      <w:r>
        <w:t xml:space="preserve"> </w:t>
      </w:r>
      <w:r>
        <w:t xml:space="preserve">publish state, and credential metadata.</w:t>
      </w:r>
    </w:p>
    <w:p>
      <w:pPr>
        <w:pStyle w:val="Compact"/>
        <w:numPr>
          <w:ilvl w:val="1"/>
          <w:numId w:val="1011"/>
        </w:numPr>
      </w:pPr>
      <w:r>
        <w:t xml:space="preserve">Restore into an isolated station profile.</w:t>
      </w:r>
    </w:p>
    <w:p>
      <w:pPr>
        <w:pStyle w:val="Compact"/>
        <w:numPr>
          <w:ilvl w:val="1"/>
          <w:numId w:val="1011"/>
        </w:numPr>
      </w:pPr>
      <w:r>
        <w:t xml:space="preserve">Verify restored admin state, portal state, media playback, captions,</w:t>
      </w:r>
      <w:r>
        <w:t xml:space="preserve"> </w:t>
      </w:r>
      <w:r>
        <w:t xml:space="preserve">records, publish status, and provider readiness.</w:t>
      </w:r>
    </w:p>
    <w:p>
      <w:pPr>
        <w:pStyle w:val="Compact"/>
        <w:numPr>
          <w:ilvl w:val="1"/>
          <w:numId w:val="1011"/>
        </w:numPr>
      </w:pPr>
      <w:r>
        <w:t xml:space="preserve">Clearly report anything intentionally excluded or requiring re-entry.</w:t>
      </w:r>
    </w:p>
    <w:p>
      <w:pPr>
        <w:pStyle w:val="Compact"/>
        <w:numPr>
          <w:ilvl w:val="0"/>
          <w:numId w:val="1010"/>
        </w:numPr>
      </w:pPr>
      <w:r>
        <w:t xml:space="preserve">Safe update path.</w:t>
      </w:r>
    </w:p>
    <w:p>
      <w:pPr>
        <w:pStyle w:val="Compact"/>
        <w:numPr>
          <w:ilvl w:val="1"/>
          <w:numId w:val="1012"/>
        </w:numPr>
      </w:pPr>
      <w:r>
        <w:t xml:space="preserve">Detect available update package or update source.</w:t>
      </w:r>
    </w:p>
    <w:p>
      <w:pPr>
        <w:pStyle w:val="Compact"/>
        <w:numPr>
          <w:ilvl w:val="1"/>
          <w:numId w:val="1012"/>
        </w:numPr>
      </w:pPr>
      <w:r>
        <w:t xml:space="preserve">Run pre-update checks and backup/checkpoint.</w:t>
      </w:r>
    </w:p>
    <w:p>
      <w:pPr>
        <w:pStyle w:val="Compact"/>
        <w:numPr>
          <w:ilvl w:val="1"/>
          <w:numId w:val="1012"/>
        </w:numPr>
      </w:pPr>
      <w:r>
        <w:t xml:space="preserve">Apply update.</w:t>
      </w:r>
    </w:p>
    <w:p>
      <w:pPr>
        <w:pStyle w:val="Compact"/>
        <w:numPr>
          <w:ilvl w:val="1"/>
          <w:numId w:val="1012"/>
        </w:numPr>
      </w:pPr>
      <w:r>
        <w:t xml:space="preserve">Run post-update safe-to-broadcast proof.</w:t>
      </w:r>
    </w:p>
    <w:p>
      <w:pPr>
        <w:pStyle w:val="Compact"/>
        <w:numPr>
          <w:ilvl w:val="1"/>
          <w:numId w:val="1012"/>
        </w:numPr>
      </w:pPr>
      <w:r>
        <w:t xml:space="preserve">Block broadcast when update proof fails.</w:t>
      </w:r>
    </w:p>
    <w:p>
      <w:pPr>
        <w:pStyle w:val="Compact"/>
        <w:numPr>
          <w:ilvl w:val="0"/>
          <w:numId w:val="1010"/>
        </w:numPr>
      </w:pPr>
      <w:r>
        <w:t xml:space="preserve">Rollback path.</w:t>
      </w:r>
    </w:p>
    <w:p>
      <w:pPr>
        <w:pStyle w:val="Compact"/>
        <w:numPr>
          <w:ilvl w:val="1"/>
          <w:numId w:val="1013"/>
        </w:numPr>
      </w:pPr>
      <w:r>
        <w:t xml:space="preserve">Select rollback asset.</w:t>
      </w:r>
    </w:p>
    <w:p>
      <w:pPr>
        <w:pStyle w:val="Compact"/>
        <w:numPr>
          <w:ilvl w:val="1"/>
          <w:numId w:val="1013"/>
        </w:numPr>
      </w:pPr>
      <w:r>
        <w:t xml:space="preserve">Execute rollback.</w:t>
      </w:r>
    </w:p>
    <w:p>
      <w:pPr>
        <w:pStyle w:val="Compact"/>
        <w:numPr>
          <w:ilvl w:val="1"/>
          <w:numId w:val="1013"/>
        </w:numPr>
      </w:pPr>
      <w:r>
        <w:t xml:space="preserve">Verify restored runtime and safe-to-broadcast state.</w:t>
      </w:r>
    </w:p>
    <w:p>
      <w:pPr>
        <w:pStyle w:val="Compact"/>
        <w:numPr>
          <w:ilvl w:val="1"/>
          <w:numId w:val="1013"/>
        </w:numPr>
      </w:pPr>
      <w:r>
        <w:t xml:space="preserve">Preserve operator-readable logs and support bundle context.</w:t>
      </w:r>
    </w:p>
    <w:p>
      <w:pPr>
        <w:pStyle w:val="Compact"/>
        <w:numPr>
          <w:ilvl w:val="0"/>
          <w:numId w:val="1010"/>
        </w:numPr>
      </w:pPr>
      <w:r>
        <w:t xml:space="preserve">Quality gate expansion.</w:t>
      </w:r>
    </w:p>
    <w:p>
      <w:pPr>
        <w:pStyle w:val="Compact"/>
        <w:numPr>
          <w:ilvl w:val="1"/>
          <w:numId w:val="1014"/>
        </w:numPr>
      </w:pPr>
      <w:r>
        <w:t xml:space="preserve">Keep first-meeting journey green.</w:t>
      </w:r>
    </w:p>
    <w:p>
      <w:pPr>
        <w:pStyle w:val="Compact"/>
        <w:numPr>
          <w:ilvl w:val="1"/>
          <w:numId w:val="1014"/>
        </w:numPr>
      </w:pPr>
      <w:r>
        <w:t xml:space="preserve">Add restore and rollback regression coverage.</w:t>
      </w:r>
    </w:p>
    <w:p>
      <w:pPr>
        <w:pStyle w:val="Compact"/>
        <w:numPr>
          <w:ilvl w:val="1"/>
          <w:numId w:val="1014"/>
        </w:numPr>
      </w:pPr>
      <w:r>
        <w:t xml:space="preserve">Add provider proof workflow tests from v1.4 into the required gate.</w:t>
      </w:r>
    </w:p>
    <w:p>
      <w:pPr>
        <w:pStyle w:val="Compact"/>
        <w:numPr>
          <w:ilvl w:val="1"/>
          <w:numId w:val="1014"/>
        </w:numPr>
      </w:pPr>
      <w:r>
        <w:t xml:space="preserve">Add accessibility and public-portal cross-browser/mobile checks where</w:t>
      </w:r>
      <w:r>
        <w:t xml:space="preserve"> </w:t>
      </w:r>
      <w:r>
        <w:t xml:space="preserve">feasible.</w:t>
      </w:r>
    </w:p>
    <w:p>
      <w:pPr>
        <w:pStyle w:val="Compact"/>
        <w:numPr>
          <w:ilvl w:val="1"/>
          <w:numId w:val="1014"/>
        </w:numPr>
      </w:pPr>
      <w:r>
        <w:t xml:space="preserve">Add secret-leakage scans for proof reports, restore reports, and support</w:t>
      </w:r>
      <w:r>
        <w:t xml:space="preserve"> </w:t>
      </w:r>
      <w:r>
        <w:t xml:space="preserve">bundles.</w:t>
      </w:r>
    </w:p>
    <w:bookmarkEnd w:id="19"/>
    <w:bookmarkStart w:id="20" w:name="likely-work-areas-1"/>
    <w:p>
      <w:pPr>
        <w:pStyle w:val="Heading3"/>
      </w:pPr>
      <w:r>
        <w:t xml:space="preserve">Likely Work Areas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civiccast/installer/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civiccast/db/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civiccast/assets/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civiccast/publish/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civiccast/apps/portal-operator/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tests/installer/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tests/integration/</w:t>
      </w:r>
    </w:p>
    <w:p>
      <w:pPr>
        <w:pStyle w:val="Compact"/>
        <w:numPr>
          <w:ilvl w:val="0"/>
          <w:numId w:val="1015"/>
        </w:numPr>
      </w:pPr>
      <w:r>
        <w:t xml:space="preserve">release evidence and operator recovery docs</w:t>
      </w:r>
    </w:p>
    <w:bookmarkEnd w:id="20"/>
    <w:bookmarkStart w:id="21" w:name="v1.5-exit-criteria"/>
    <w:p>
      <w:pPr>
        <w:pStyle w:val="Heading3"/>
      </w:pPr>
      <w:r>
        <w:t xml:space="preserve">v1.5 Exit Criteria</w:t>
      </w:r>
    </w:p>
    <w:p>
      <w:pPr>
        <w:pStyle w:val="Compact"/>
        <w:numPr>
          <w:ilvl w:val="0"/>
          <w:numId w:val="1016"/>
        </w:numPr>
      </w:pPr>
      <w:r>
        <w:t xml:space="preserve">Full restore into an isolated profile passes and is documented.</w:t>
      </w:r>
    </w:p>
    <w:p>
      <w:pPr>
        <w:pStyle w:val="Compact"/>
        <w:numPr>
          <w:ilvl w:val="0"/>
          <w:numId w:val="1016"/>
        </w:numPr>
      </w:pPr>
      <w:r>
        <w:t xml:space="preserve">Update apply proof passes or fails safely with clear operator messaging.</w:t>
      </w:r>
    </w:p>
    <w:p>
      <w:pPr>
        <w:pStyle w:val="Compact"/>
        <w:numPr>
          <w:ilvl w:val="0"/>
          <w:numId w:val="1016"/>
        </w:numPr>
      </w:pPr>
      <w:r>
        <w:t xml:space="preserve">Rollback proof passes from at least one controlled failed-update scenario.</w:t>
      </w:r>
    </w:p>
    <w:p>
      <w:pPr>
        <w:pStyle w:val="Compact"/>
        <w:numPr>
          <w:ilvl w:val="0"/>
          <w:numId w:val="1016"/>
        </w:numPr>
      </w:pPr>
      <w:r>
        <w:t xml:space="preserve">Support bundle captures restore/update/rollback context without secrets.</w:t>
      </w:r>
    </w:p>
    <w:p>
      <w:pPr>
        <w:pStyle w:val="Compact"/>
        <w:numPr>
          <w:ilvl w:val="0"/>
          <w:numId w:val="1016"/>
        </w:numPr>
      </w:pPr>
      <w:r>
        <w:t xml:space="preserve">Required quality gate list is updated and enforced for future releases.</w:t>
      </w:r>
    </w:p>
    <w:bookmarkEnd w:id="21"/>
    <w:bookmarkEnd w:id="22"/>
    <w:bookmarkStart w:id="27" w:name="v1.6-channel-and-ctv-beta"/>
    <w:p>
      <w:pPr>
        <w:pStyle w:val="Heading2"/>
      </w:pPr>
      <w:r>
        <w:t xml:space="preserve">v1.6: Channel And CTV Beta</w:t>
      </w:r>
    </w:p>
    <w:bookmarkStart w:id="23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Build the software pieces required for Cablecast-style channel operation and</w:t>
      </w:r>
      <w:r>
        <w:t xml:space="preserve"> </w:t>
      </w:r>
      <w:r>
        <w:t xml:space="preserve">connected TV reach, while leaving physical headend, SDI, DeckLink, and Comcast</w:t>
      </w:r>
      <w:r>
        <w:t xml:space="preserve"> </w:t>
      </w:r>
      <w:r>
        <w:t xml:space="preserve">delivery proof to partner validation.</w:t>
      </w:r>
    </w:p>
    <w:bookmarkEnd w:id="23"/>
    <w:bookmarkStart w:id="24" w:name="required-outcomes-2"/>
    <w:p>
      <w:pPr>
        <w:pStyle w:val="Heading3"/>
      </w:pPr>
      <w:r>
        <w:t xml:space="preserve">Required Outcomes</w:t>
      </w:r>
    </w:p>
    <w:p>
      <w:pPr>
        <w:pStyle w:val="Compact"/>
        <w:numPr>
          <w:ilvl w:val="0"/>
          <w:numId w:val="1017"/>
        </w:numPr>
      </w:pPr>
      <w:r>
        <w:t xml:space="preserve">Linear channel profiles.</w:t>
      </w:r>
    </w:p>
    <w:p>
      <w:pPr>
        <w:pStyle w:val="Compact"/>
        <w:numPr>
          <w:ilvl w:val="1"/>
          <w:numId w:val="1018"/>
        </w:numPr>
      </w:pPr>
      <w:r>
        <w:t xml:space="preserve">Support one or more station channels, such as public, education, and</w:t>
      </w:r>
      <w:r>
        <w:t xml:space="preserve"> </w:t>
      </w:r>
      <w:r>
        <w:t xml:space="preserve">government channel equivalents.</w:t>
      </w:r>
    </w:p>
    <w:p>
      <w:pPr>
        <w:pStyle w:val="Compact"/>
        <w:numPr>
          <w:ilvl w:val="1"/>
          <w:numId w:val="1018"/>
        </w:numPr>
      </w:pPr>
      <w:r>
        <w:t xml:space="preserve">Store channel identity, branding, programming rules, output settings, and</w:t>
      </w:r>
      <w:r>
        <w:t xml:space="preserve"> </w:t>
      </w:r>
      <w:r>
        <w:t xml:space="preserve">fallback behavior.</w:t>
      </w:r>
    </w:p>
    <w:p>
      <w:pPr>
        <w:pStyle w:val="Compact"/>
        <w:numPr>
          <w:ilvl w:val="0"/>
          <w:numId w:val="1017"/>
        </w:numPr>
      </w:pPr>
      <w:r>
        <w:t xml:space="preserve">Schedule-to-playout workflow.</w:t>
      </w:r>
    </w:p>
    <w:p>
      <w:pPr>
        <w:pStyle w:val="Compact"/>
        <w:numPr>
          <w:ilvl w:val="1"/>
          <w:numId w:val="1019"/>
        </w:numPr>
      </w:pPr>
      <w:r>
        <w:t xml:space="preserve">Schedule live sources, file playback, slates, bulletin boards, reruns, and</w:t>
      </w:r>
      <w:r>
        <w:t xml:space="preserve"> </w:t>
      </w:r>
      <w:r>
        <w:t xml:space="preserve">fallback blocks.</w:t>
      </w:r>
    </w:p>
    <w:p>
      <w:pPr>
        <w:pStyle w:val="Compact"/>
        <w:numPr>
          <w:ilvl w:val="1"/>
          <w:numId w:val="1019"/>
        </w:numPr>
      </w:pPr>
      <w:r>
        <w:t xml:space="preserve">Handle gaps, underruns, and source failure with operator-visible states.</w:t>
      </w:r>
    </w:p>
    <w:p>
      <w:pPr>
        <w:pStyle w:val="Compact"/>
        <w:numPr>
          <w:ilvl w:val="1"/>
          <w:numId w:val="1019"/>
        </w:numPr>
      </w:pPr>
      <w:r>
        <w:t xml:space="preserve">Produce now/next status per channel.</w:t>
      </w:r>
    </w:p>
    <w:p>
      <w:pPr>
        <w:pStyle w:val="Compact"/>
        <w:numPr>
          <w:ilvl w:val="0"/>
          <w:numId w:val="1017"/>
        </w:numPr>
      </w:pPr>
      <w:r>
        <w:t xml:space="preserve">Channel proof logs.</w:t>
      </w:r>
    </w:p>
    <w:p>
      <w:pPr>
        <w:pStyle w:val="Compact"/>
        <w:numPr>
          <w:ilvl w:val="1"/>
          <w:numId w:val="1020"/>
        </w:numPr>
      </w:pPr>
      <w:r>
        <w:t xml:space="preserve">Record what was scheduled, what actually played, and what failed over.</w:t>
      </w:r>
    </w:p>
    <w:p>
      <w:pPr>
        <w:pStyle w:val="Compact"/>
        <w:numPr>
          <w:ilvl w:val="1"/>
          <w:numId w:val="1020"/>
        </w:numPr>
      </w:pPr>
      <w:r>
        <w:t xml:space="preserve">Export operator-readable and machine-readable proof logs.</w:t>
      </w:r>
    </w:p>
    <w:p>
      <w:pPr>
        <w:pStyle w:val="Compact"/>
        <w:numPr>
          <w:ilvl w:val="1"/>
          <w:numId w:val="1020"/>
        </w:numPr>
      </w:pPr>
      <w:r>
        <w:t xml:space="preserve">Attach captions/sidecars where available.</w:t>
      </w:r>
    </w:p>
    <w:p>
      <w:pPr>
        <w:pStyle w:val="Compact"/>
        <w:numPr>
          <w:ilvl w:val="0"/>
          <w:numId w:val="1017"/>
        </w:numPr>
      </w:pPr>
      <w:r>
        <w:t xml:space="preserve">Software outputs.</w:t>
      </w:r>
    </w:p>
    <w:p>
      <w:pPr>
        <w:pStyle w:val="Compact"/>
        <w:numPr>
          <w:ilvl w:val="1"/>
          <w:numId w:val="1021"/>
        </w:numPr>
      </w:pPr>
      <w:r>
        <w:t xml:space="preserve">Support feasible software outputs such as HLS, RTMP, SRT, or NDI-style</w:t>
      </w:r>
      <w:r>
        <w:t xml:space="preserve"> </w:t>
      </w:r>
      <w:r>
        <w:t xml:space="preserve">command planning where licensing permits.</w:t>
      </w:r>
    </w:p>
    <w:p>
      <w:pPr>
        <w:pStyle w:val="Compact"/>
        <w:numPr>
          <w:ilvl w:val="1"/>
          <w:numId w:val="1021"/>
        </w:numPr>
      </w:pPr>
      <w:r>
        <w:t xml:space="preserve">Avoid claiming hardware compatibility until partner proof exists.</w:t>
      </w:r>
    </w:p>
    <w:p>
      <w:pPr>
        <w:pStyle w:val="Compact"/>
        <w:numPr>
          <w:ilvl w:val="0"/>
          <w:numId w:val="1017"/>
        </w:numPr>
      </w:pPr>
      <w:r>
        <w:t xml:space="preserve">Roku/reference CTV support.</w:t>
      </w:r>
    </w:p>
    <w:p>
      <w:pPr>
        <w:pStyle w:val="Compact"/>
        <w:numPr>
          <w:ilvl w:val="1"/>
          <w:numId w:val="1022"/>
        </w:numPr>
      </w:pPr>
      <w:r>
        <w:t xml:space="preserve">Provide a stable public feed/API for live channels and VOD.</w:t>
      </w:r>
    </w:p>
    <w:p>
      <w:pPr>
        <w:pStyle w:val="Compact"/>
        <w:numPr>
          <w:ilvl w:val="1"/>
          <w:numId w:val="1022"/>
        </w:numPr>
      </w:pPr>
      <w:r>
        <w:t xml:space="preserve">Build a Roku reference app or shippable prototype.</w:t>
      </w:r>
    </w:p>
    <w:p>
      <w:pPr>
        <w:pStyle w:val="Compact"/>
        <w:numPr>
          <w:ilvl w:val="1"/>
          <w:numId w:val="1022"/>
        </w:numPr>
      </w:pPr>
      <w:r>
        <w:t xml:space="preserve">Support live HLS, VOD playback, captions, station branding, predictable</w:t>
      </w:r>
      <w:r>
        <w:t xml:space="preserve"> </w:t>
      </w:r>
      <w:r>
        <w:t xml:space="preserve">content IDs, and browse/search by meeting, series, date, body, or topic.</w:t>
      </w:r>
    </w:p>
    <w:p>
      <w:pPr>
        <w:pStyle w:val="Compact"/>
        <w:numPr>
          <w:ilvl w:val="1"/>
          <w:numId w:val="1022"/>
        </w:numPr>
      </w:pPr>
      <w:r>
        <w:t xml:space="preserve">Document the path for later Fire TV, Apple TV, and Android TV work.</w:t>
      </w:r>
    </w:p>
    <w:bookmarkEnd w:id="24"/>
    <w:bookmarkStart w:id="25" w:name="likely-work-areas-2"/>
    <w:p>
      <w:pPr>
        <w:pStyle w:val="Heading3"/>
      </w:pPr>
      <w:r>
        <w:t xml:space="preserve">Likely Work Areas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civiccast/cable/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civiccast/live/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civiccast/vod/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civiccast/schedule/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civiccast/cg/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civiccast/apps/portal-public/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civiccast/apps/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tests/cable/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tests/live/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tests/vod/</w:t>
      </w:r>
    </w:p>
    <w:p>
      <w:pPr>
        <w:pStyle w:val="Compact"/>
        <w:numPr>
          <w:ilvl w:val="0"/>
          <w:numId w:val="1023"/>
        </w:numPr>
      </w:pPr>
      <w:r>
        <w:t xml:space="preserve">channel operations docs</w:t>
      </w:r>
    </w:p>
    <w:bookmarkEnd w:id="25"/>
    <w:bookmarkStart w:id="26" w:name="v1.6-exit-criteria"/>
    <w:p>
      <w:pPr>
        <w:pStyle w:val="Heading3"/>
      </w:pPr>
      <w:r>
        <w:t xml:space="preserve">v1.6 Exit Criteria</w:t>
      </w:r>
    </w:p>
    <w:p>
      <w:pPr>
        <w:pStyle w:val="Compact"/>
        <w:numPr>
          <w:ilvl w:val="0"/>
          <w:numId w:val="1024"/>
        </w:numPr>
      </w:pPr>
      <w:r>
        <w:t xml:space="preserve">At least one end-to-end channel schedule can play through live/file/slate or</w:t>
      </w:r>
      <w:r>
        <w:t xml:space="preserve"> </w:t>
      </w:r>
      <w:r>
        <w:t xml:space="preserve">equivalent software states.</w:t>
      </w:r>
    </w:p>
    <w:p>
      <w:pPr>
        <w:pStyle w:val="Compact"/>
        <w:numPr>
          <w:ilvl w:val="0"/>
          <w:numId w:val="1024"/>
        </w:numPr>
      </w:pPr>
      <w:r>
        <w:t xml:space="preserve">Channel now/next and proof logs are visible to operators.</w:t>
      </w:r>
    </w:p>
    <w:p>
      <w:pPr>
        <w:pStyle w:val="Compact"/>
        <w:numPr>
          <w:ilvl w:val="0"/>
          <w:numId w:val="1024"/>
        </w:numPr>
      </w:pPr>
      <w:r>
        <w:t xml:space="preserve">Failure/fallback behavior is tested.</w:t>
      </w:r>
    </w:p>
    <w:p>
      <w:pPr>
        <w:pStyle w:val="Compact"/>
        <w:numPr>
          <w:ilvl w:val="0"/>
          <w:numId w:val="1024"/>
        </w:numPr>
      </w:pPr>
      <w:r>
        <w:t xml:space="preserve">Public feed/API can drive the Roku/reference CTV surface.</w:t>
      </w:r>
    </w:p>
    <w:p>
      <w:pPr>
        <w:pStyle w:val="Compact"/>
        <w:numPr>
          <w:ilvl w:val="0"/>
          <w:numId w:val="1024"/>
        </w:numPr>
      </w:pPr>
      <w:r>
        <w:t xml:space="preserve">Roku/reference app can browse and play at least live channel and VOD content</w:t>
      </w:r>
      <w:r>
        <w:t xml:space="preserve"> </w:t>
      </w:r>
      <w:r>
        <w:t xml:space="preserve">from CivicCast test data.</w:t>
      </w:r>
    </w:p>
    <w:p>
      <w:pPr>
        <w:pStyle w:val="Compact"/>
        <w:numPr>
          <w:ilvl w:val="0"/>
          <w:numId w:val="1024"/>
        </w:numPr>
      </w:pPr>
      <w:r>
        <w:t xml:space="preserve">Documentation states exactly what is software-proven and what requires partner</w:t>
      </w:r>
      <w:r>
        <w:t xml:space="preserve"> </w:t>
      </w:r>
      <w:r>
        <w:t xml:space="preserve">station hardware validation.</w:t>
      </w:r>
    </w:p>
    <w:bookmarkEnd w:id="26"/>
    <w:bookmarkEnd w:id="27"/>
    <w:bookmarkStart w:id="32" w:name="v1.7-early-adoption-candidate"/>
    <w:p>
      <w:pPr>
        <w:pStyle w:val="Heading2"/>
      </w:pPr>
      <w:r>
        <w:t xml:space="preserve">v1.7: Early Adoption Candidate</w:t>
      </w:r>
    </w:p>
    <w:bookmarkStart w:id="28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Make CivicCast ready to announce for early adopters without overclaiming:</w:t>
      </w:r>
      <w:r>
        <w:t xml:space="preserve"> </w:t>
      </w:r>
      <w:r>
        <w:t xml:space="preserve">downloadable, supportable, explainable, legally/procurement-legible, and backed</w:t>
      </w:r>
      <w:r>
        <w:t xml:space="preserve"> </w:t>
      </w:r>
      <w:r>
        <w:t xml:space="preserve">by a coherent proof bundle.</w:t>
      </w:r>
    </w:p>
    <w:bookmarkEnd w:id="28"/>
    <w:bookmarkStart w:id="29" w:name="required-outcomes-3"/>
    <w:p>
      <w:pPr>
        <w:pStyle w:val="Heading3"/>
      </w:pPr>
      <w:r>
        <w:t xml:space="preserve">Required Outcomes</w:t>
      </w:r>
    </w:p>
    <w:p>
      <w:pPr>
        <w:pStyle w:val="Compact"/>
        <w:numPr>
          <w:ilvl w:val="0"/>
          <w:numId w:val="1025"/>
        </w:numPr>
      </w:pPr>
      <w:r>
        <w:t xml:space="preserve">Public release posture.</w:t>
      </w:r>
    </w:p>
    <w:p>
      <w:pPr>
        <w:pStyle w:val="Compact"/>
        <w:numPr>
          <w:ilvl w:val="1"/>
          <w:numId w:val="1026"/>
        </w:numPr>
      </w:pPr>
      <w:r>
        <w:t xml:space="preserve">Decide public download path.</w:t>
      </w:r>
    </w:p>
    <w:p>
      <w:pPr>
        <w:pStyle w:val="Compact"/>
        <w:numPr>
          <w:ilvl w:val="1"/>
          <w:numId w:val="1026"/>
        </w:numPr>
      </w:pPr>
      <w:r>
        <w:t xml:space="preserve">Resolve Windows signing or explicit unsigned-beta policy.</w:t>
      </w:r>
    </w:p>
    <w:p>
      <w:pPr>
        <w:pStyle w:val="Compact"/>
        <w:numPr>
          <w:ilvl w:val="1"/>
          <w:numId w:val="1026"/>
        </w:numPr>
      </w:pPr>
      <w:r>
        <w:t xml:space="preserve">Provide a public install page that does not require private collaborator</w:t>
      </w:r>
      <w:r>
        <w:t xml:space="preserve"> </w:t>
      </w:r>
      <w:r>
        <w:t xml:space="preserve">access.</w:t>
      </w:r>
    </w:p>
    <w:p>
      <w:pPr>
        <w:pStyle w:val="Compact"/>
        <w:numPr>
          <w:ilvl w:val="1"/>
          <w:numId w:val="1026"/>
        </w:numPr>
      </w:pPr>
      <w:r>
        <w:t xml:space="preserve">Provide SmartScreen and WSL2 expectation language.</w:t>
      </w:r>
    </w:p>
    <w:p>
      <w:pPr>
        <w:pStyle w:val="Compact"/>
        <w:numPr>
          <w:ilvl w:val="0"/>
          <w:numId w:val="1025"/>
        </w:numPr>
      </w:pPr>
      <w:r>
        <w:t xml:space="preserve">Support intake.</w:t>
      </w:r>
    </w:p>
    <w:p>
      <w:pPr>
        <w:pStyle w:val="Compact"/>
        <w:numPr>
          <w:ilvl w:val="1"/>
          <w:numId w:val="1027"/>
        </w:numPr>
      </w:pPr>
      <w:r>
        <w:t xml:space="preserve">Provide a public support intake path for non-collaborators.</w:t>
      </w:r>
    </w:p>
    <w:p>
      <w:pPr>
        <w:pStyle w:val="Compact"/>
        <w:numPr>
          <w:ilvl w:val="1"/>
          <w:numId w:val="1027"/>
        </w:numPr>
      </w:pPr>
      <w:r>
        <w:t xml:space="preserve">Define what logs/support bundles users should attach.</w:t>
      </w:r>
    </w:p>
    <w:p>
      <w:pPr>
        <w:pStyle w:val="Compact"/>
        <w:numPr>
          <w:ilvl w:val="1"/>
          <w:numId w:val="1027"/>
        </w:numPr>
      </w:pPr>
      <w:r>
        <w:t xml:space="preserve">Define response expectations for early adopters.</w:t>
      </w:r>
    </w:p>
    <w:p>
      <w:pPr>
        <w:pStyle w:val="Compact"/>
        <w:numPr>
          <w:ilvl w:val="0"/>
          <w:numId w:val="1025"/>
        </w:numPr>
      </w:pPr>
      <w:r>
        <w:t xml:space="preserve">Procurement and legal language.</w:t>
      </w:r>
    </w:p>
    <w:p>
      <w:pPr>
        <w:pStyle w:val="Compact"/>
        <w:numPr>
          <w:ilvl w:val="1"/>
          <w:numId w:val="1028"/>
        </w:numPr>
      </w:pPr>
      <w:r>
        <w:t xml:space="preserve">Procurement language for CivicCast as open-source civic infrastructure.</w:t>
      </w:r>
    </w:p>
    <w:p>
      <w:pPr>
        <w:pStyle w:val="Compact"/>
        <w:numPr>
          <w:ilvl w:val="1"/>
          <w:numId w:val="1028"/>
        </w:numPr>
      </w:pPr>
      <w:r>
        <w:t xml:space="preserve">Apache 2.0 and CC BY 4.0 explanation.</w:t>
      </w:r>
    </w:p>
    <w:p>
      <w:pPr>
        <w:pStyle w:val="Compact"/>
        <w:numPr>
          <w:ilvl w:val="1"/>
          <w:numId w:val="1028"/>
        </w:numPr>
      </w:pPr>
      <w:r>
        <w:t xml:space="preserve">Data ownership and export language.</w:t>
      </w:r>
    </w:p>
    <w:p>
      <w:pPr>
        <w:pStyle w:val="Compact"/>
        <w:numPr>
          <w:ilvl w:val="1"/>
          <w:numId w:val="1028"/>
        </w:numPr>
      </w:pPr>
      <w:r>
        <w:t xml:space="preserve">Public-records retention guidance with a clear non-legal-advice disclaimer.</w:t>
      </w:r>
    </w:p>
    <w:p>
      <w:pPr>
        <w:pStyle w:val="Compact"/>
        <w:numPr>
          <w:ilvl w:val="1"/>
          <w:numId w:val="1028"/>
        </w:numPr>
      </w:pPr>
      <w:r>
        <w:t xml:space="preserve">Accessibility posture.</w:t>
      </w:r>
    </w:p>
    <w:p>
      <w:pPr>
        <w:pStyle w:val="Compact"/>
        <w:numPr>
          <w:ilvl w:val="1"/>
          <w:numId w:val="1028"/>
        </w:numPr>
      </w:pPr>
      <w:r>
        <w:t xml:space="preserve">AI caption/summary disclaimer language.</w:t>
      </w:r>
    </w:p>
    <w:p>
      <w:pPr>
        <w:pStyle w:val="Compact"/>
        <w:numPr>
          <w:ilvl w:val="1"/>
          <w:numId w:val="1028"/>
        </w:numPr>
      </w:pPr>
      <w:r>
        <w:t xml:space="preserve">Release policy and security reporting language.</w:t>
      </w:r>
    </w:p>
    <w:p>
      <w:pPr>
        <w:pStyle w:val="Compact"/>
        <w:numPr>
          <w:ilvl w:val="1"/>
          <w:numId w:val="1028"/>
        </w:numPr>
      </w:pPr>
      <w:r>
        <w:t xml:space="preserve">Vendor replacement comparison language, especially Cablecast-style cost and</w:t>
      </w:r>
      <w:r>
        <w:t xml:space="preserve"> </w:t>
      </w:r>
      <w:r>
        <w:t xml:space="preserve">lock-in framing.</w:t>
      </w:r>
    </w:p>
    <w:p>
      <w:pPr>
        <w:pStyle w:val="Compact"/>
        <w:numPr>
          <w:ilvl w:val="0"/>
          <w:numId w:val="1025"/>
        </w:numPr>
      </w:pPr>
      <w:r>
        <w:t xml:space="preserve">Proof bundle.</w:t>
      </w:r>
    </w:p>
    <w:p>
      <w:pPr>
        <w:pStyle w:val="Compact"/>
        <w:numPr>
          <w:ilvl w:val="1"/>
          <w:numId w:val="1029"/>
        </w:numPr>
      </w:pPr>
      <w:r>
        <w:t xml:space="preserve">Consolidate installer proof, provider proof, restore proof, update/rollback</w:t>
      </w:r>
      <w:r>
        <w:t xml:space="preserve"> </w:t>
      </w:r>
      <w:r>
        <w:t xml:space="preserve">proof, channel/CTV proof, and known limitations.</w:t>
      </w:r>
    </w:p>
    <w:p>
      <w:pPr>
        <w:pStyle w:val="Compact"/>
        <w:numPr>
          <w:ilvl w:val="1"/>
          <w:numId w:val="1029"/>
        </w:numPr>
      </w:pPr>
      <w:r>
        <w:t xml:space="preserve">Make proof easy to read from README, docs index, release notes, and release</w:t>
      </w:r>
      <w:r>
        <w:t xml:space="preserve"> </w:t>
      </w:r>
      <w:r>
        <w:t xml:space="preserve">assets.</w:t>
      </w:r>
    </w:p>
    <w:p>
      <w:pPr>
        <w:pStyle w:val="Compact"/>
        <w:numPr>
          <w:ilvl w:val="0"/>
          <w:numId w:val="1025"/>
        </w:numPr>
      </w:pPr>
      <w:r>
        <w:t xml:space="preserve">Early-adopter docs.</w:t>
      </w:r>
    </w:p>
    <w:p>
      <w:pPr>
        <w:pStyle w:val="Compact"/>
        <w:numPr>
          <w:ilvl w:val="1"/>
          <w:numId w:val="1030"/>
        </w:numPr>
      </w:pPr>
      <w:r>
        <w:t xml:space="preserve">Quickstart.</w:t>
      </w:r>
    </w:p>
    <w:p>
      <w:pPr>
        <w:pStyle w:val="Compact"/>
        <w:numPr>
          <w:ilvl w:val="1"/>
          <w:numId w:val="1030"/>
        </w:numPr>
      </w:pPr>
      <w:r>
        <w:t xml:space="preserve">Operator manual.</w:t>
      </w:r>
    </w:p>
    <w:p>
      <w:pPr>
        <w:pStyle w:val="Compact"/>
        <w:numPr>
          <w:ilvl w:val="1"/>
          <w:numId w:val="1030"/>
        </w:numPr>
      </w:pPr>
      <w:r>
        <w:t xml:space="preserve">Technical admin manual.</w:t>
      </w:r>
    </w:p>
    <w:p>
      <w:pPr>
        <w:pStyle w:val="Compact"/>
        <w:numPr>
          <w:ilvl w:val="1"/>
          <w:numId w:val="1030"/>
        </w:numPr>
      </w:pPr>
      <w:r>
        <w:t xml:space="preserve">Recovery guide.</w:t>
      </w:r>
    </w:p>
    <w:p>
      <w:pPr>
        <w:pStyle w:val="Compact"/>
        <w:numPr>
          <w:ilvl w:val="1"/>
          <w:numId w:val="1030"/>
        </w:numPr>
      </w:pPr>
      <w:r>
        <w:t xml:space="preserve">Provider setup guide.</w:t>
      </w:r>
    </w:p>
    <w:p>
      <w:pPr>
        <w:pStyle w:val="Compact"/>
        <w:numPr>
          <w:ilvl w:val="1"/>
          <w:numId w:val="1030"/>
        </w:numPr>
      </w:pPr>
      <w:r>
        <w:t xml:space="preserve">Channel operations guide.</w:t>
      </w:r>
    </w:p>
    <w:p>
      <w:pPr>
        <w:pStyle w:val="Compact"/>
        <w:numPr>
          <w:ilvl w:val="1"/>
          <w:numId w:val="1030"/>
        </w:numPr>
      </w:pPr>
      <w:r>
        <w:t xml:space="preserve">CTV/Roku guide.</w:t>
      </w:r>
    </w:p>
    <w:p>
      <w:pPr>
        <w:pStyle w:val="Compact"/>
        <w:numPr>
          <w:ilvl w:val="1"/>
          <w:numId w:val="1030"/>
        </w:numPr>
      </w:pPr>
      <w:r>
        <w:t xml:space="preserve">Known limitations and support boundaries.</w:t>
      </w:r>
    </w:p>
    <w:bookmarkEnd w:id="29"/>
    <w:bookmarkStart w:id="30" w:name="likely-work-areas-3"/>
    <w:p>
      <w:pPr>
        <w:pStyle w:val="Heading3"/>
      </w:pPr>
      <w:r>
        <w:t xml:space="preserve">Likely Work Areas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CHANGELOG.md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docs/spec/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docs/releases/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docs/tester/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civiccast/installer/</w:t>
      </w:r>
    </w:p>
    <w:p>
      <w:pPr>
        <w:pStyle w:val="Compact"/>
        <w:numPr>
          <w:ilvl w:val="0"/>
          <w:numId w:val="1031"/>
        </w:numPr>
      </w:pPr>
      <w:r>
        <w:t xml:space="preserve">public/operator docs surfaces</w:t>
      </w:r>
    </w:p>
    <w:p>
      <w:pPr>
        <w:pStyle w:val="Compact"/>
        <w:numPr>
          <w:ilvl w:val="0"/>
          <w:numId w:val="1031"/>
        </w:numPr>
      </w:pPr>
      <w:r>
        <w:t xml:space="preserve">release scripts and evidence checks</w:t>
      </w:r>
    </w:p>
    <w:bookmarkEnd w:id="30"/>
    <w:bookmarkStart w:id="31" w:name="v1.7-exit-criteria"/>
    <w:p>
      <w:pPr>
        <w:pStyle w:val="Heading3"/>
      </w:pPr>
      <w:r>
        <w:t xml:space="preserve">v1.7 Exit Criteria</w:t>
      </w:r>
    </w:p>
    <w:p>
      <w:pPr>
        <w:pStyle w:val="Compact"/>
        <w:numPr>
          <w:ilvl w:val="0"/>
          <w:numId w:val="1032"/>
        </w:numPr>
      </w:pPr>
      <w:r>
        <w:t xml:space="preserve">Public download and trust posture are documented and tested.</w:t>
      </w:r>
    </w:p>
    <w:p>
      <w:pPr>
        <w:pStyle w:val="Compact"/>
        <w:numPr>
          <w:ilvl w:val="0"/>
          <w:numId w:val="1032"/>
        </w:numPr>
      </w:pPr>
      <w:r>
        <w:t xml:space="preserve">Early adopters can install without private repo access.</w:t>
      </w:r>
    </w:p>
    <w:p>
      <w:pPr>
        <w:pStyle w:val="Compact"/>
        <w:numPr>
          <w:ilvl w:val="0"/>
          <w:numId w:val="1032"/>
        </w:numPr>
      </w:pPr>
      <w:r>
        <w:t xml:space="preserve">Release notes and known limits avoid unproven claims.</w:t>
      </w:r>
    </w:p>
    <w:p>
      <w:pPr>
        <w:pStyle w:val="Compact"/>
        <w:numPr>
          <w:ilvl w:val="0"/>
          <w:numId w:val="1032"/>
        </w:numPr>
      </w:pPr>
      <w:r>
        <w:t xml:space="preserve">Proof bundle is complete enough for a technical station partner to evaluate.</w:t>
      </w:r>
    </w:p>
    <w:p>
      <w:pPr>
        <w:pStyle w:val="Compact"/>
        <w:numPr>
          <w:ilvl w:val="0"/>
          <w:numId w:val="1032"/>
        </w:numPr>
      </w:pPr>
      <w:r>
        <w:t xml:space="preserve">Procurement/legal docs are plain-English and institution-readable.</w:t>
      </w:r>
    </w:p>
    <w:p>
      <w:pPr>
        <w:pStyle w:val="Compact"/>
        <w:numPr>
          <w:ilvl w:val="0"/>
          <w:numId w:val="1032"/>
        </w:numPr>
      </w:pPr>
      <w:r>
        <w:t xml:space="preserve">Support intake works for someone outside the core repo.</w:t>
      </w:r>
    </w:p>
    <w:p>
      <w:pPr>
        <w:pStyle w:val="Compact"/>
        <w:numPr>
          <w:ilvl w:val="0"/>
          <w:numId w:val="1032"/>
        </w:numPr>
      </w:pPr>
      <w:r>
        <w:t xml:space="preserve">v1.7 can be announced as an early adoption candidate, not as a finished</w:t>
      </w:r>
      <w:r>
        <w:t xml:space="preserve"> </w:t>
      </w:r>
      <w:r>
        <w:t xml:space="preserve">enterprise appliance replacement.</w:t>
      </w:r>
    </w:p>
    <w:bookmarkEnd w:id="31"/>
    <w:bookmarkEnd w:id="32"/>
    <w:bookmarkStart w:id="33" w:name="cross-release-quality-bar"/>
    <w:p>
      <w:pPr>
        <w:pStyle w:val="Heading2"/>
      </w:pPr>
      <w:r>
        <w:t xml:space="preserve">Cross-Release Quality Bar</w:t>
      </w:r>
    </w:p>
    <w:p>
      <w:pPr>
        <w:pStyle w:val="FirstParagraph"/>
      </w:pPr>
      <w:r>
        <w:t xml:space="preserve">Every release should include:</w:t>
      </w:r>
    </w:p>
    <w:p>
      <w:pPr>
        <w:pStyle w:val="Compact"/>
        <w:numPr>
          <w:ilvl w:val="0"/>
          <w:numId w:val="1033"/>
        </w:numPr>
      </w:pPr>
      <w:r>
        <w:t xml:space="preserve">Updated release plan.</w:t>
      </w:r>
    </w:p>
    <w:p>
      <w:pPr>
        <w:pStyle w:val="Compact"/>
        <w:numPr>
          <w:ilvl w:val="0"/>
          <w:numId w:val="1033"/>
        </w:numPr>
      </w:pPr>
      <w:r>
        <w:t xml:space="preserve">Release evidence page.</w:t>
      </w:r>
    </w:p>
    <w:p>
      <w:pPr>
        <w:pStyle w:val="Compact"/>
        <w:numPr>
          <w:ilvl w:val="0"/>
          <w:numId w:val="1033"/>
        </w:numPr>
      </w:pPr>
      <w:r>
        <w:t xml:space="preserve">Known limitations update.</w:t>
      </w:r>
    </w:p>
    <w:p>
      <w:pPr>
        <w:pStyle w:val="Compact"/>
        <w:numPr>
          <w:ilvl w:val="0"/>
          <w:numId w:val="1033"/>
        </w:numPr>
      </w:pPr>
      <w:r>
        <w:t xml:space="preserve">Secret leakage scan over evidence and support artifacts.</w:t>
      </w:r>
    </w:p>
    <w:p>
      <w:pPr>
        <w:pStyle w:val="Compact"/>
        <w:numPr>
          <w:ilvl w:val="0"/>
          <w:numId w:val="1033"/>
        </w:numPr>
      </w:pPr>
      <w:r>
        <w:t xml:space="preserve">Targeted backend tests.</w:t>
      </w:r>
    </w:p>
    <w:p>
      <w:pPr>
        <w:pStyle w:val="Compact"/>
        <w:numPr>
          <w:ilvl w:val="0"/>
          <w:numId w:val="1033"/>
        </w:numPr>
      </w:pPr>
      <w:r>
        <w:t xml:space="preserve">Relevant Playwright/operator journey tests.</w:t>
      </w:r>
    </w:p>
    <w:p>
      <w:pPr>
        <w:pStyle w:val="Compact"/>
        <w:numPr>
          <w:ilvl w:val="0"/>
          <w:numId w:val="1033"/>
        </w:numPr>
      </w:pPr>
      <w:r>
        <w:t xml:space="preserve">Docs link check or equivalent manual proof.</w:t>
      </w:r>
    </w:p>
    <w:p>
      <w:pPr>
        <w:pStyle w:val="Compact"/>
        <w:numPr>
          <w:ilvl w:val="0"/>
          <w:numId w:val="1033"/>
        </w:numPr>
      </w:pPr>
      <w:r>
        <w:t xml:space="preserve">Installer smoke rerun if installer, runtime bootstrap, first-admin setup, or</w:t>
      </w:r>
      <w:r>
        <w:t xml:space="preserve"> </w:t>
      </w:r>
      <w:r>
        <w:t xml:space="preserve">packaging changes.</w:t>
      </w:r>
    </w:p>
    <w:p>
      <w:pPr>
        <w:pStyle w:val="Compact"/>
        <w:numPr>
          <w:ilvl w:val="0"/>
          <w:numId w:val="1033"/>
        </w:numPr>
      </w:pPr>
      <w:r>
        <w:t xml:space="preserve">Clear release claim boundary.</w:t>
      </w:r>
    </w:p>
    <w:bookmarkEnd w:id="33"/>
    <w:bookmarkStart w:id="34" w:name="suggested-agent-pipeline-run-order"/>
    <w:p>
      <w:pPr>
        <w:pStyle w:val="Heading2"/>
      </w:pPr>
      <w:r>
        <w:t xml:space="preserve">Suggested Agent Pipeline Run Order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2026-05-30-standalone-adoption-roadmap</w:t>
      </w:r>
    </w:p>
    <w:p>
      <w:pPr>
        <w:pStyle w:val="Compact"/>
        <w:numPr>
          <w:ilvl w:val="1"/>
          <w:numId w:val="1035"/>
        </w:numPr>
      </w:pPr>
      <w:r>
        <w:t xml:space="preserve">Scope: convert this plan into validated pipeline manifests and release</w:t>
      </w:r>
      <w:r>
        <w:t xml:space="preserve"> </w:t>
      </w:r>
      <w:r>
        <w:t xml:space="preserve">scope locks.</w:t>
      </w:r>
    </w:p>
    <w:p>
      <w:pPr>
        <w:pStyle w:val="Compact"/>
        <w:numPr>
          <w:ilvl w:val="1"/>
          <w:numId w:val="1035"/>
        </w:numPr>
      </w:pPr>
      <w:r>
        <w:t xml:space="preserve">Output: accepted roadmap, v1.4 manifest, and release-level scope locks.</w:t>
      </w:r>
    </w:p>
    <w:p>
      <w:pPr>
        <w:pStyle w:val="Compact"/>
        <w:numPr>
          <w:ilvl w:val="0"/>
          <w:numId w:val="1034"/>
        </w:numPr>
      </w:pPr>
      <w:r>
        <w:t xml:space="preserve">v1.4 implementation run.</w:t>
      </w:r>
    </w:p>
    <w:p>
      <w:pPr>
        <w:pStyle w:val="Compact"/>
        <w:numPr>
          <w:ilvl w:val="1"/>
          <w:numId w:val="1036"/>
        </w:numPr>
      </w:pPr>
      <w:r>
        <w:t xml:space="preserve">Scope: provider proof workflow and role-aware operations.</w:t>
      </w:r>
    </w:p>
    <w:p>
      <w:pPr>
        <w:pStyle w:val="Compact"/>
        <w:numPr>
          <w:ilvl w:val="0"/>
          <w:numId w:val="1034"/>
        </w:numPr>
      </w:pPr>
      <w:r>
        <w:t xml:space="preserve">v1.5 implementation run.</w:t>
      </w:r>
    </w:p>
    <w:p>
      <w:pPr>
        <w:pStyle w:val="Compact"/>
        <w:numPr>
          <w:ilvl w:val="1"/>
          <w:numId w:val="1037"/>
        </w:numPr>
      </w:pPr>
      <w:r>
        <w:t xml:space="preserve">Scope: full restore, update/rollback, and quality gates.</w:t>
      </w:r>
    </w:p>
    <w:p>
      <w:pPr>
        <w:pStyle w:val="Compact"/>
        <w:numPr>
          <w:ilvl w:val="0"/>
          <w:numId w:val="1034"/>
        </w:numPr>
      </w:pPr>
      <w:r>
        <w:t xml:space="preserve">v1.6 implementation run.</w:t>
      </w:r>
    </w:p>
    <w:p>
      <w:pPr>
        <w:pStyle w:val="Compact"/>
        <w:numPr>
          <w:ilvl w:val="1"/>
          <w:numId w:val="1038"/>
        </w:numPr>
      </w:pPr>
      <w:r>
        <w:t xml:space="preserve">Scope: channel operations and Roku/reference CTV.</w:t>
      </w:r>
    </w:p>
    <w:p>
      <w:pPr>
        <w:pStyle w:val="Compact"/>
        <w:numPr>
          <w:ilvl w:val="0"/>
          <w:numId w:val="1034"/>
        </w:numPr>
      </w:pPr>
      <w:r>
        <w:t xml:space="preserve">v1.7 implementation run.</w:t>
      </w:r>
    </w:p>
    <w:p>
      <w:pPr>
        <w:pStyle w:val="Compact"/>
        <w:numPr>
          <w:ilvl w:val="1"/>
          <w:numId w:val="1039"/>
        </w:numPr>
      </w:pPr>
      <w:r>
        <w:t xml:space="preserve">Scope: public release posture, docs, support intake, and proof bundle.</w:t>
      </w:r>
    </w:p>
    <w:bookmarkEnd w:id="34"/>
    <w:bookmarkStart w:id="35" w:name="immediate-next-actions"/>
    <w:p>
      <w:pPr>
        <w:pStyle w:val="Heading2"/>
      </w:pPr>
      <w:r>
        <w:t xml:space="preserve">Immediate Next Actions</w:t>
      </w:r>
    </w:p>
    <w:p>
      <w:pPr>
        <w:pStyle w:val="Compact"/>
        <w:numPr>
          <w:ilvl w:val="0"/>
          <w:numId w:val="1040"/>
        </w:numPr>
      </w:pPr>
      <w:r>
        <w:t xml:space="preserve">Review this plan and decide whether v1.3.2 remains separate or folds into</w:t>
      </w:r>
      <w:r>
        <w:t xml:space="preserve"> </w:t>
      </w:r>
      <w:r>
        <w:t xml:space="preserve">v1.7 public release posture.</w:t>
      </w:r>
    </w:p>
    <w:p>
      <w:pPr>
        <w:pStyle w:val="Compact"/>
        <w:numPr>
          <w:ilvl w:val="0"/>
          <w:numId w:val="1040"/>
        </w:numPr>
      </w:pPr>
      <w:r>
        <w:t xml:space="preserve">Complete and validate the Agent Pipeline manifest for the v1.4 implementation</w:t>
      </w:r>
      <w:r>
        <w:t xml:space="preserve"> </w:t>
      </w:r>
      <w:r>
        <w:t xml:space="preserve">run.</w:t>
      </w:r>
    </w:p>
    <w:p>
      <w:pPr>
        <w:pStyle w:val="Compact"/>
        <w:numPr>
          <w:ilvl w:val="0"/>
          <w:numId w:val="1040"/>
        </w:numPr>
      </w:pPr>
      <w:r>
        <w:t xml:space="preserve">Select the first live provider proof set for v1.4.</w:t>
      </w:r>
    </w:p>
    <w:p>
      <w:pPr>
        <w:pStyle w:val="Compact"/>
        <w:numPr>
          <w:ilvl w:val="0"/>
          <w:numId w:val="1040"/>
        </w:numPr>
      </w:pPr>
      <w:r>
        <w:t xml:space="preserve">Decide which role gets implemented first and which workflow proves it.</w:t>
      </w:r>
    </w:p>
    <w:p>
      <w:pPr>
        <w:pStyle w:val="Compact"/>
        <w:numPr>
          <w:ilvl w:val="0"/>
          <w:numId w:val="1040"/>
        </w:numPr>
      </w:pPr>
      <w:r>
        <w:t xml:space="preserve">Identify the smallest isolated restore target for v1.5 planning.</w:t>
      </w:r>
    </w:p>
    <w:p>
      <w:pPr>
        <w:pStyle w:val="Compact"/>
        <w:numPr>
          <w:ilvl w:val="0"/>
          <w:numId w:val="1040"/>
        </w:numPr>
      </w:pPr>
      <w:r>
        <w:t xml:space="preserve">Identify Longmont Public Media channel-operation assumptions that can be</w:t>
      </w:r>
      <w:r>
        <w:t xml:space="preserve"> </w:t>
      </w:r>
      <w:r>
        <w:t xml:space="preserve">represented in software before hardware validation.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CivicCast Standalone Adoption Plan</dc:title>
  <dc:creator/>
  <cp:keywords/>
  <dcterms:created xsi:type="dcterms:W3CDTF">2026-05-30T17:01:23Z</dcterms:created>
  <dcterms:modified xsi:type="dcterms:W3CDTF">2026-05-30T17:01:23Z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