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63D59"/>
          <w:sz w:val="96"/>
          <w:szCs w:val="96"/>
        </w:rPr>
        <w:t xml:space="preserve">CivicRecords AI</w:t>
      </w:r>
    </w:p>
    <w:p>
      <w:pPr>
        <w:spacing w:after="400"/>
        <w:jc w:val="center"/>
      </w:pPr>
      <w:r>
        <w:rPr>
          <w:rFonts w:ascii="Arial" w:cs="Arial" w:eastAsia="Arial" w:hAnsi="Arial"/>
          <w:color w:val="1F5A84"/>
          <w:sz w:val="56"/>
          <w:szCs w:val="56"/>
        </w:rPr>
        <w:t xml:space="preserve">Complete System Manual</w:t>
      </w:r>
    </w:p>
    <w:p>
      <w:pPr>
        <w:pBdr>
          <w:top w:val="single" w:color="1F5A84" w:sz="2" w:space="12"/>
        </w:pBd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Version v1.4.0</w:t>
      </w:r>
    </w:p>
    <w:p>
      <w:pP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April 2026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Open-source, locally-hosted AI for municipal open records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Note: Update the table of contents in Word by right-clicking it and selecting "Update Field".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I: USER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1. Welcome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helps municipal staff respond to open records requests using AI-powered document search. It is designed to augment human decision-making, not replace it.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Search across municipal documents using natural language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Detect potential exemptions (PII, statutory) and flag them for human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 open records requests through their full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draft response letters for human review and approval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 NOT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autonomous decisions — every action requires human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public-facing portal — staff-only internal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cloud services — all data stays on local infrastructure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City clerks and records officers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heads and supervisors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IT administrators responsible for deployment and maintenance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Access CivicRecords AI via http://localhost:8080 or your city’s network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the email and password provided by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If locked out after 5 failed login attempts, wait 1 minute or contact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There is no self-registration — all accounts are created by an administrator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3. Dashboard Overview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Your dashboard and available actions depend on your assigned role. The following table shows what each role can 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Search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Create Requests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Review Flags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Approve Responses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Manage Users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Reviewer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Read-Only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4. Searching for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Type plain English queries in the search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Results show: document name, page number, relevance score (0–100%), and matched text snippet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Filter results by date range, file type, department, or data source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Follow-up searches refine results within the same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AI-generated summaries are labeled as “AI-Generated Draft”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5. Managing Records Requests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a Request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requester name, email address, description of the request, and statutory deadline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Request Statuses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request moves through a defined lifecycle with 11 possible statuses: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Status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Received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New request logged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Clarification Needed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Awaiting requester clarification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 to staff member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Searching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Active document search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 Review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under review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Ready for Release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Reviewed, pending approval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Drafted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letter drafted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Approved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Supervisor approved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Fulfilled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delivered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Sent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sent to requester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Closed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Request complete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6. Reviewing Exemption Flags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flags potential exemptions in documents. Staff must review and accept or reject every flag — there is no auto-redaction.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PII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Social Security numbers, phone numbers, email addresses, credit card numbers, dates of birth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Statutory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State-specific keyword matches based on 180 rules across 51 jurisdictions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Confidence Scores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flag includes a confidence score indicating match strength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flag requires human review regardless of confidence level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7. Response Letters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an AI draft or use a template-based letter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drafts are labeled: </w:t>
      </w:r>
      <w:r>
        <w:rPr>
          <w:rFonts w:ascii="Arial" w:cs="Arial" w:eastAsia="Arial" w:hAnsi="Arial"/>
          <w:b/>
          <w:bCs/>
          <w:color w:val="8B2E2E"/>
          <w:sz w:val="24"/>
          <w:szCs w:val="24"/>
        </w:rPr>
        <w:t xml:space="preserve">"AI-GENERATED DRAFT — REQUIRES HUMAN REVIEW"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Edit the draft, then submit for supervisor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 Reviewer must approve the letter before it can be sent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8. Timeline &amp; Messaging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request has a chronological timeline showing all activity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Internal messages are visible to staff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External messages are visible to the requester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9. Fee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Add line items with description, quantity, and unit price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calculates totals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10. Department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Staff see only their own department’s requests and documents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Shared documents (not assigned to a department) are visible to all staff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see everything across all departments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11. Quick Reference —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Exemption Flag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system-detected potential exemption in a document that requires human review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PII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Personally Identifiable Information (SSN, phone, email, credit card, DOB)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Confidence Score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numeric score (0–100%) indicating how strong an exemption match is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Statutory Deadline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The legal time limit for responding to an open records request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Hybrid Search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Combined keyword + semantic vector search for better results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RRF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Reciprocal Rank Fusion — algorithm that merges keyword and vector search rankings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Human-in-the-Loop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Design principle requiring human approval for all AI-assisted decisions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 Log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Tamper-evident record of all system actions for legal compliance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II: IT ADMINISTRATION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12. System Architecture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runs as 7 Docker containers orchestrated via Docker Compose: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960"/>
        <w:gridCol w:w="3800"/>
      </w:tblGrid>
      <w:tr>
        <w:trPr>
          <w:tblHeader/>
        </w:trP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Service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Image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Port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postgres:17 + pgvector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5432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All data, vectors, audit logs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redis:7.2 (BSD)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6379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task broker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ollama/ollama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11434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Local LLM runtime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Dockerfile.backend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8000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FastAPI application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worker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async worker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beat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scheduler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nginx + React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8080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Static frontend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Backend: Python 3.12, FastAPI, SQLAlchemy 2.0, Celery, Alembic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Frontend: React 18, shadcn/ui,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Database: PostgreSQL 17 with pgvector extension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Cache/Broker: Redis 7.2 (BSD licensed)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Runtime: Ollama (local LLM inference)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See docs/architecture/system-architecture.html for interactive architecture diagrams.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13. Hardware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Component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Minimum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Recommended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 cores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12–16 cores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32 GB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64 GB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Storage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 TB NVMe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2 TB NVMe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Integrated 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Discrete 8 GB+ VRAM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GPU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AMD ROCm (Linux)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DirectML (Windows)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NVIDIA CUDA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Performance target: less than 30 seconds per query on minimum specification hardware.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14. Installation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Windows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https://github.com/scottconverse/civicrecords-ai.git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.\install.ps1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Linux / macOS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https://github.com/scottconverse/civicrecords-ai.git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bash install.sh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the Installer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1. Checks Docker is installed and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2. Detects hardware (CPU, RAM, GPU)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3. Configures GPU acceleration (ROCm, DirectML, or CUDA)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4. Builds Docker images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5. Starts PostgreSQL and runs database creation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6. Runs Alembic migrations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7. Starts all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8. Pulls the AI model (gemma4)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15. Configuration Reference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 environment variables (set in .env file):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Variable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Default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DATABASE_URL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postgresql+asyncpg://civicrecords:civicrecords@postgres:5432/civicrecords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JWT_SECRET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 signing key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admin@example.gov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OLLAMA_BASE_URL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endpoint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http://ollama:11434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redis://redis:6379/0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AUDIT_RETENTION_DAYS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 retention period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1095 (3 years)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16. User &amp; Department Administration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users via POST /admin/users (admin role required)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one of 4 roles: Admin, Reviewer, Staff, or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Role Hierarchy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 &gt; Reviewer &gt; Staff &gt;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Department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departments via the admin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users to departments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scoping controls which requests and documents each user can access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17. Data Source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Source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File directory sources (local filesystem paths)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Manual file uploads via the web interface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Formats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PDF, DOCX, XLSX, CSV, 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Email: EML, MBOX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Plain text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Images (via Gemma 4 vision model)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Monitoring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Ingestion progress is visible on the admin dashboard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18. Model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Gemma 4 Models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installer picker presents all four supported Gemma 4 models. Default is gemma4:e4b. Only e2b and e4b are supportable at the 32 GB baseline target profile; 26b and 31b require stronger hardware and must be selected explicitly.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gemma4:e2b — Edge / 2.3B effective params / 7.2 GB disk / ~16 GB RAM (supportable)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gemma4:e4b — Edge / 4.5B effective params / 9.6 GB disk / ~20 GB RAM (supportable, 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gemma4:26b — Workstation MoE / 25.2B total, 3.8B active / 18 GB disk / 48+ GB RAM recommended (not supportable at 32 GB baseline)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gemma4:31b — Workstation dense / 30.7B params / 20 GB disk / 64+ GB RAM, GPU recommended (not supportable at 32 GB baseline)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Embedding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nomic-embed-text — always required for vector search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Model Registry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Tracks model metadata for compliance and auditing purposes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19. Exemption Rules 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180 rules across 50 states + District of Columbia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Rule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regex — PII pattern matching (SSN, phone, email,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keyword — statutory phrase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llm_prompt — LLM-evaluated contextual rules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create, enable/disable, and customize rules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20. Compliance &amp; Audit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Audit Logs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Hash-chained audit logs using SHA-256 (append-only, tamper-evident)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Compliance Templates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 built-in compliance document templates: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Use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Response Letter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CAIA Impact Assessment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Governance Policy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Residency Attestation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Template 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Templates support variable substitution using the city profile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Data Sovereignty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sovereignty verification script confirms all data remains local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21.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Localhost binding — no public internet exposure by default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JWT authentication for all API endpoints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Rate limiting: 5 requests per minute per IP address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default passwords — admin password set during installation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telemetry or analytics — no outbound data transmission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Service account API keys are hashed before storage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22. Backup &amp; Recovery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to Back 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PostgreSQL database (use pg_dump)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.env configuration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Uploaded documents directory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Restoring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Restore database with pg_restore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Restart services with docker compose up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23. Monitoring &amp; Troubleshooting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Health Check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GET /health  →  {"status": "ok", "version": "1.4.0"}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Common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Symptom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Cause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 not responding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Container stopped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compose up -d api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 returns no results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documents ingested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Add data source and ingest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model not found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Model not pulled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pull gemma4:e4b (or the tag selected at install time)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Login fails repeatedly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Rate limited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Wait 60 seconds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Slow search performance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GPU, large dataset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Enable GPU acceleration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24. Upgrading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To upgrade CivicRecords AI to the latest version: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pull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build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run --rm api alembic upgrade head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up -d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APPENDICES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A. Supported Platforms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Platform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Docker Runtime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Windows 10/11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macOS 13+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Ubuntu 22.04+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Debian 12+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</w:tbl>
    <w:sectPr>
      <w:headerReference w:type="default" r:id="rId13"/>
      <w:footerReference w:type="default" r:id="rId14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63D59"/>
      <w:sz w:val="72"/>
      <w:szCs w:val="7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1F5A84"/>
      <w:sz w:val="56"/>
      <w:szCs w:val="5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2933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2026-04-26T02:31:18.837Z</dcterms:created>
  <dcterms:modified xsi:type="dcterms:W3CDTF">2026-04-26T02:31:18.838Z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