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1.1+ · April 2026</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On a desktop or tablet browser, the navigation lives in the left sidebar. On a phone or narrow browser window (under ~768 pixels wide), the sidebar collapses behind a menu button (three horizontal lines, ≡) in the top-left corner — tap it to slide the menu in, tap a section to navigate (the menu closes by itself), or tap the ✕ inside the menu to close it without navigating.</w:t>
      </w:r>
    </w:p>
    <w:p>
      <w:r>
        <w:t xml:space="preserve"/>
      </w:r>
    </w:p>
    <w:p>
      <w:r>
        <w:t xml:space="preserve">The menu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Services row (admins). Scroll down the dashboard to find the SERVICES card. It shows one indicator per backing service: Database (PostgreSQL), Ollama (LLM Engine), and Redis (Task Queue).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macOS 13+, Ubuntu 22.04+, Debian 12+ | Ubuntu 22.04 LTS |</w:t>
      </w:r>
    </w:p>
    <w:p>
      <w:r>
        <w:t xml:space="preserve">| Runtime | Docker Desktop (Windows/macOS)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There are two supported install paths. Pick the one that matches your platform and how you prefer to install software.</w:t>
      </w:r>
    </w:p>
    <w:p>
      <w:r>
        <w:t xml:space="preserve"/>
      </w:r>
    </w:p>
    <w:p>
      <w:r>
        <w:t xml:space="preserve">&gt; Install paths currently shipped:</w:t>
      </w:r>
    </w:p>
    <w:p>
      <w:r>
        <w:t xml:space="preserve">&gt;</w:t>
      </w:r>
    </w:p>
    <w:p>
      <w:r>
        <w:t xml:space="preserve">&gt; 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 for the full SmartScreen walkthrough, the split Start/Install shortcut model, and checksum-verify steps.</w:t>
      </w:r>
    </w:p>
    <w:p>
      <w:r>
        <w:t xml:space="preserve">&gt; 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r>
        <w:t xml:space="preserve">&gt;</w:t>
      </w:r>
    </w:p>
    <w:p>
      <w:r>
        <w:t xml:space="preserve">&gt; Cross-platform parity: No native installer ships for macOS or Linux. That parity is explicit follow-on work and is not scheduled. macOS and Linux operators use the script path below.</w:t>
      </w:r>
    </w:p>
    <w:p>
      <w:r>
        <w:t xml:space="preserve"/>
      </w:r>
    </w:p>
    <w:p>
      <w:r>
        <w:t xml:space="preserve">Before you begin — prerequisites:</w:t>
      </w:r>
    </w:p>
    <w:p>
      <w:r>
        <w:t xml:space="preserve"/>
      </w:r>
    </w:p>
    <w:p>
      <w:r>
        <w:t xml:space="preserve">1. Install Docker Desktop (Windows 10/11 or macOS 13+): docker.com/get-started</w:t>
      </w:r>
    </w:p>
    <w:p>
      <w:r>
        <w:t xml:space="preserve">   *Linux:* Install Docker Engine 24+ and Docker Compose v2.</w:t>
      </w:r>
    </w:p>
    <w:p>
      <w:r>
        <w:t xml:space="preserve">2. Ensure Docker is running (you should see the Docker icon in your taskbar/menu bar, or docker info returns without error).</w:t>
      </w:r>
    </w:p>
    <w:p>
      <w:r>
        <w:t xml:space="preserve">3. Confirm system requirements: 8+ CPU cores, 32 GB RAM, 50 GB free disk.</w:t>
      </w:r>
    </w:p>
    <w:p>
      <w:r>
        <w:t xml:space="preserve"/>
      </w:r>
    </w:p>
    <w:p>
      <w:r>
        <w:t xml:space="preserve">Windows (double-click installer): Download CivicRecordsAI-&lt;version&gt;-Setup.exe from the GitHub Releases page for the tag you want, double-click it, acknowledge the SmartScreen "Unknown publisher" prompt (expected — see above), and follow the installer prompts. On first launch the installer automatically runs the full bootstrap (prereq check → model pull → first-boot seed).</w:t>
      </w:r>
    </w:p>
    <w:p>
      <w:r>
        <w:t xml:space="preserve"/>
      </w:r>
    </w:p>
    <w:p>
      <w:r>
        <w:t xml:space="preserve">Windows (script path):</w:t>
      </w:r>
    </w:p>
    <w:p>
      <w:r>
        <w:t xml:space="preserve">```powershell</w:t>
      </w:r>
    </w:p>
    <w:p>
      <w:r>
        <w:t xml:space="preserve">git clone https://github.com/scottconverse/civicrecords-ai.git</w:t>
      </w:r>
    </w:p>
    <w:p>
      <w:r>
        <w:t xml:space="preserve">cd civicrecords-ai</w:t>
      </w:r>
    </w:p>
    <w:p>
      <w:r>
        <w:t xml:space="preserve">.\install.ps1</w:t>
      </w:r>
    </w:p>
    <w:p>
      <w:r>
        <w:t xml:space="preserve">```</w:t>
      </w:r>
    </w:p>
    <w:p>
      <w:r>
        <w:t xml:space="preserve"/>
      </w:r>
    </w:p>
    <w:p>
      <w:r>
        <w:t xml:space="preserve">macOS / Linux:</w:t>
      </w:r>
    </w:p>
    <w:p>
      <w:r>
        <w:t xml:space="preserve">```bash</w:t>
      </w:r>
    </w:p>
    <w:p>
      <w:r>
        <w:t xml:space="preserve">git clone https://github.com/scottconverse/civicrecords-ai.git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 generates a strong admin password when run interactively)</w:t>
      </w:r>
    </w:p>
    <w:p>
      <w:r>
        <w:t xml:space="preserve">2. Pulls Docker images (~8–12 GB first time)</w:t>
      </w:r>
    </w:p>
    <w:p>
      <w:r>
        <w:t xml:space="preserve">3. Pulls nomic-embed-text and the Gemma 4 tag you select in the 4-model picker (default gemma4:e4b)</w:t>
      </w:r>
    </w:p>
    <w:p>
      <w:r>
        <w:t xml:space="preserve">4. Starts all 7 Docker Compose services</w:t>
      </w:r>
    </w:p>
    <w:p>
      <w:r>
        <w:t xml:space="preserve">5. Runs database migrations</w:t>
      </w:r>
    </w:p>
    <w:p>
      <w:r>
        <w:t xml:space="preserve">6. Creates the initial admin account</w:t>
      </w:r>
    </w:p>
    <w:p>
      <w:r>
        <w:t xml:space="preserve">7. 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JWT_SECRET | Yes | — | Random string ≥ 32 chars for JWT signing |</w:t>
      </w:r>
    </w:p>
    <w:p>
      <w:r>
        <w:t xml:space="preserve">| FIRST_ADMIN_EMAIL | Yes | — | Initial admin account email |</w:t>
      </w:r>
    </w:p>
    <w:p>
      <w:r>
        <w:t xml:space="preserve">| FIRST_ADMIN_PASSWORD | Yes | — | Initial admin account password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PORTAL_MODE | No | private | private (staff-only, default) or public (adds the minimal resident surface described in B.3.1) |</w:t>
      </w:r>
    </w:p>
    <w:p>
      <w:r>
        <w:t xml:space="preserve">| ENCRYPTION_KEY | Yes | — | Fernet key used to encrypt data_sources.connection_config at rest. Installer auto-generates on fresh installs; back it up separately from the database (see B.3.2) |</w:t>
      </w:r>
    </w:p>
    <w:p>
      <w:r>
        <w:t xml:space="preserve"/>
      </w:r>
    </w:p>
    <w:p>
      <w:r>
        <w:t xml:space="preserve"/>
      </w:r>
    </w:p>
    <w:p>
      <w:r>
        <w:t xml:space="preserve"/>
      </w:r>
    </w:p>
    <w:p>
      <w:pPr>
        <w:pStyle w:val="Heading2"/>
      </w:pPr>
      <w:r>
        <w:rPr>
          <w:b/>
          <w:bCs/>
          <w:sz w:val="36"/>
          <w:szCs w:val="36"/>
        </w:rPr>
        <w:t xml:space="preserve">B.3.1 Portal Mode (Private vs. Public)</w:t>
      </w:r>
    </w:p>
    <w:p>
      <w:r>
        <w:t xml:space="preserve"/>
      </w:r>
    </w:p>
    <w:p>
      <w:r>
        <w:t xml:space="preserve">CivicRecords AI can run in one of two modes. You pick the mode when you install, and you can change it later by editing .env and restarting the stack. If you do nothing, the system runs in private mode — the same behavior CivicRecords AI has always had.</w:t>
      </w:r>
    </w:p>
    <w:p>
      <w:r>
        <w:t xml:space="preserve"/>
      </w:r>
    </w:p>
    <w:p>
      <w:pPr>
        <w:pStyle w:val="Heading3"/>
      </w:pPr>
      <w:r>
        <w:rPr>
          <w:b/>
          <w:bCs/>
          <w:sz w:val="28"/>
          <w:szCs w:val="28"/>
        </w:rPr>
        <w:t xml:space="preserve">What each mode does</w:t>
      </w:r>
    </w:p>
    <w:p>
      <w:r>
        <w:t xml:space="preserve"/>
      </w:r>
    </w:p>
    <w:p>
      <w:r>
        <w:t xml:space="preserve">Private mode (default).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r>
        <w:t xml:space="preserve"/>
      </w:r>
    </w:p>
    <w:p>
      <w:r>
        <w:t xml:space="preserve">Choose private mode if:</w:t>
      </w:r>
    </w:p>
    <w:p>
      <w:pPr>
        <w:pStyle w:val="ListParagraph"/>
        <w:numPr>
          <w:ilvl w:val="0"/>
          <w:numId w:val="1"/>
        </w:numPr>
      </w:pPr>
      <w:r>
        <w:t xml:space="preserve">Your city does not yet have policies, staffing, or legal sign-off to accept resident-submitted requests through a website.</w:t>
      </w:r>
    </w:p>
    <w:p>
      <w:pPr>
        <w:pStyle w:val="ListParagraph"/>
        <w:numPr>
          <w:ilvl w:val="0"/>
          <w:numId w:val="1"/>
        </w:numPr>
      </w:pPr>
      <w:r>
        <w:t xml:space="preserve">You want to deploy the staff tool first and add the public surface later.</w:t>
      </w:r>
    </w:p>
    <w:p>
      <w:pPr>
        <w:pStyle w:val="ListParagraph"/>
        <w:numPr>
          <w:ilvl w:val="0"/>
          <w:numId w:val="1"/>
        </w:numPr>
      </w:pPr>
      <w:r>
        <w:t xml:space="preserve">You are deploying into an internal network and public access is not desired.</w:t>
      </w:r>
    </w:p>
    <w:p>
      <w:r>
        <w:t xml:space="preserve"/>
      </w:r>
    </w:p>
    <w:p>
      <w:r>
        <w:t xml:space="preserve">Public mode. Adds three — and only three — resident-facing pages on top of the staff tool:</w:t>
      </w:r>
    </w:p>
    <w:p>
      <w:r>
        <w:t xml:space="preserve">1. A public landing page that explains what residents can do online.</w:t>
      </w:r>
    </w:p>
    <w:p>
      <w:r>
        <w:t xml:space="preserve">2. A resident registration page where a member of the public can create an account for themselves.</w:t>
      </w:r>
    </w:p>
    <w:p>
      <w:r>
        <w:t xml:space="preserve">3. A request submission form that a registered, signed-in resident can use to file a records request.</w:t>
      </w:r>
    </w:p>
    <w:p>
      <w:r>
        <w:t xml:space="preserve"/>
      </w:r>
    </w:p>
    <w:p>
      <w:r>
        <w:t xml:space="preserve">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r>
        <w:t xml:space="preserve"/>
      </w:r>
    </w:p>
    <w:p>
      <w:r>
        <w:t xml:space="preserve">What public mode does NOT add.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r>
        <w:t xml:space="preserve"/>
      </w:r>
    </w:p>
    <w:p>
      <w:pPr>
        <w:pStyle w:val="Heading3"/>
      </w:pPr>
      <w:r>
        <w:rPr>
          <w:b/>
          <w:bCs/>
          <w:sz w:val="28"/>
          <w:szCs w:val="28"/>
        </w:rPr>
        <w:t xml:space="preserve">Choosing the mode at install time</w:t>
      </w:r>
    </w:p>
    <w:p>
      <w:r>
        <w:t xml:space="preserve"/>
      </w:r>
    </w:p>
    <w:p>
      <w:r>
        <w:t xml:space="preserve">The installer will ask you which mode to run in.</w:t>
      </w:r>
    </w:p>
    <w:p>
      <w:r>
        <w:t xml:space="preserve"/>
      </w:r>
    </w:p>
    <w:p>
      <w:r>
        <w:t xml:space="preserve">On Windows (running install.ps1 or the Start-Menu "Install or Repair CivicRecords AI" shortcut):</w:t>
      </w:r>
    </w:p>
    <w:p>
      <w:r>
        <w:t xml:space="preserve"/>
      </w:r>
    </w:p>
    <w:p>
      <w:r>
        <w:t xml:space="preserve">```</w:t>
      </w:r>
    </w:p>
    <w:p>
      <w:r>
        <w:t xml:space="preserve">Portal mode — private (staff-only) or public (adds minimal resident surface)?</w:t>
      </w:r>
    </w:p>
    <w:p>
      <w:r>
        <w:t xml:space="preserve">Press Enter for the default [private], or type "public":</w:t>
      </w:r>
    </w:p>
    <w:p>
      <w:r>
        <w:t xml:space="preserve">```</w:t>
      </w:r>
    </w:p>
    <w:p>
      <w:r>
        <w:t xml:space="preserve"/>
      </w:r>
    </w:p>
    <w:p>
      <w:r>
        <w:t xml:space="preserve">On Linux / macOS (running bash install.sh):</w:t>
      </w:r>
    </w:p>
    <w:p>
      <w:r>
        <w:t xml:space="preserve"/>
      </w:r>
    </w:p>
    <w:p>
      <w:r>
        <w:t xml:space="preserve">```</w:t>
      </w:r>
    </w:p>
    <w:p>
      <w:r>
        <w:t xml:space="preserve">Portal mode [private]:</w:t>
      </w:r>
    </w:p>
    <w:p>
      <w:r>
        <w:t xml:space="preserve">```</w:t>
      </w:r>
    </w:p>
    <w:p>
      <w:r>
        <w:t xml:space="preserve"/>
      </w:r>
    </w:p>
    <w:p>
      <w:r>
        <w:t xml:space="preserve">Press Enter to accept the default (private), or type public and press Enter.</w:t>
      </w:r>
    </w:p>
    <w:p>
      <w:r>
        <w:t xml:space="preserve"/>
      </w:r>
    </w:p>
    <w:p>
      <w:r>
        <w:t xml:space="preserve">Non-interactive installs (for example, when you are scripting a deployment): set the environment variable CIVICRECORDS_PORTAL_MODE=public before running the installer. The installer will pick it up and skip the prompt.</w:t>
      </w:r>
    </w:p>
    <w:p>
      <w:r>
        <w:t xml:space="preserve"/>
      </w:r>
    </w:p>
    <w:p>
      <w:pPr>
        <w:pStyle w:val="Heading3"/>
      </w:pPr>
      <w:r>
        <w:rPr>
          <w:b/>
          <w:bCs/>
          <w:sz w:val="28"/>
          <w:szCs w:val="28"/>
        </w:rPr>
        <w:t xml:space="preserve">Changing the mode after installation</w:t>
      </w:r>
    </w:p>
    <w:p>
      <w:r>
        <w:t xml:space="preserve"/>
      </w:r>
    </w:p>
    <w:p>
      <w:r>
        <w:t xml:space="preserve">You can switch modes at any time without reinstalling. You will need access to the server where CivicRecords AI is running and permission to restart the Docker stack.</w:t>
      </w:r>
    </w:p>
    <w:p>
      <w:r>
        <w:t xml:space="preserve"/>
      </w:r>
    </w:p>
    <w:p>
      <w:r>
        <w:t xml:space="preserve">1. Open .env in the CivicRecords AI install folder (the same folder that has docker-compose.yml).</w:t>
      </w:r>
    </w:p>
    <w:p>
      <w:r>
        <w:t xml:space="preserve">2. Find the line that reads PORTAL_MODE=private (or add it if it is missing).</w:t>
      </w:r>
    </w:p>
    <w:p>
      <w:r>
        <w:t xml:space="preserve">3. Change it to PORTAL_MODE=public — or the reverse, if you are switching back to private.</w:t>
      </w:r>
    </w:p>
    <w:p>
      <w:r>
        <w:t xml:space="preserve">4. Save the file.</w:t>
      </w:r>
    </w:p>
    <w:p>
      <w:r>
        <w:t xml:space="preserve">5. Restart the stack: docker compose restart api frontend (from that folder).</w:t>
      </w:r>
    </w:p>
    <w:p>
      <w:r>
        <w:t xml:space="preserve">6. Open http://localhost:8080/ in a browser and confirm you see the expected screen — the staff login in private mode, or the public landing page in public mode.</w:t>
      </w:r>
    </w:p>
    <w:p>
      <w:r>
        <w:t xml:space="preserve"/>
      </w:r>
    </w:p>
    <w:p>
      <w:r>
        <w:t xml:space="preserve">If the site does not come up the way you expect, the most common cause is a typo in .env. The system only accepts exactly private or public (case and extra spaces are forgiven — Public and  PUBLIC  both work — but misspellings like publick will stop the system from starting. If the stack refuses to start, open the logs with docker compose logs api and look for a message about PORTAL_MODE; fix the typo and restart.</w:t>
      </w:r>
    </w:p>
    <w:p>
      <w:r>
        <w:t xml:space="preserve"/>
      </w:r>
    </w:p>
    <w:p>
      <w:pPr>
        <w:pStyle w:val="Heading3"/>
      </w:pPr>
      <w:r>
        <w:rPr>
          <w:b/>
          <w:bCs/>
          <w:sz w:val="28"/>
          <w:szCs w:val="28"/>
        </w:rPr>
        <w:t xml:space="preserve">Who can do what, at a glance</w:t>
      </w:r>
    </w:p>
    <w:p>
      <w:r>
        <w:t xml:space="preserve"/>
      </w:r>
    </w:p>
    <w:p>
      <w:r>
        <w:t xml:space="preserve">| Who | Private mode | Public mode |</w:t>
      </w:r>
    </w:p>
    <w:p>
      <w:r>
        <w:t xml:space="preserve">|---|---|---|</w:t>
      </w:r>
    </w:p>
    <w:p>
      <w:r>
        <w:t xml:space="preserve">| Staff (admin, staff, reviewer, read-only, liaison) | Sign in at the staff login → staff workbench | Sign in at the staff login → staff workbench (unchanged) |</w:t>
      </w:r>
    </w:p>
    <w:p>
      <w:r>
        <w:t xml:space="preserve">| Someone who is not signed in | Sees staff login only | Sees public landing, can register, can sign in |</w:t>
      </w:r>
    </w:p>
    <w:p>
      <w:r>
        <w:t xml:space="preserve">| A registered resident (signed in) | N/A — resident accounts cannot be created | Sees the three public pages: landing, their registration state, and the submission form |</w:t>
      </w:r>
    </w:p>
    <w:p>
      <w:r>
        <w:t xml:space="preserve">| Anonymous visitor trying to submit a request | Not possible — no public surface | Not possible — submission requires a signed-in resident account |</w:t>
      </w:r>
    </w:p>
    <w:p>
      <w:r>
        <w:t xml:space="preserve"/>
      </w:r>
    </w:p>
    <w:p>
      <w:pPr>
        <w:pStyle w:val="Heading3"/>
      </w:pPr>
      <w:r>
        <w:rPr>
          <w:b/>
          <w:bCs/>
          <w:sz w:val="28"/>
          <w:szCs w:val="28"/>
        </w:rPr>
        <w:t xml:space="preserve">Glossary</w:t>
      </w:r>
    </w:p>
    <w:p>
      <w:r>
        <w:t xml:space="preserve"/>
      </w:r>
    </w:p>
    <w:p>
      <w:pPr>
        <w:pStyle w:val="ListParagraph"/>
        <w:numPr>
          <w:ilvl w:val="0"/>
          <w:numId w:val="1"/>
        </w:numPr>
      </w:pPr>
      <w:r>
        <w:t xml:space="preserve">.env — A plain-text configuration file in the CivicRecords AI install folder that holds settings like database passwords, mail server settings, and now PORTAL_MODE. Never share this file with anyone outside your IT team.</w:t>
      </w:r>
    </w:p>
    <w:p>
      <w:pPr>
        <w:pStyle w:val="ListParagraph"/>
        <w:numPr>
          <w:ilvl w:val="0"/>
          <w:numId w:val="1"/>
        </w:numPr>
      </w:pPr>
      <w:r>
        <w:t xml:space="preserve">Docker stack — The collection of running services (database, API, frontend, etc.) that make up CivicRecords AI.</w:t>
      </w:r>
    </w:p>
    <w:p>
      <w:pPr>
        <w:pStyle w:val="ListParagraph"/>
        <w:numPr>
          <w:ilvl w:val="0"/>
          <w:numId w:val="1"/>
        </w:numPr>
      </w:pPr>
      <w:r>
        <w:t xml:space="preserve">Resident account — A user account with the "public" role. Can submit requests but cannot view other people's requests or use any staff tools.</w:t>
      </w:r>
    </w:p>
    <w:p>
      <w:r>
        <w:t xml:space="preserve"/>
      </w:r>
    </w:p>
    <w:p>
      <w:r>
        <w:t xml:space="preserve"/>
      </w:r>
    </w:p>
    <w:p>
      <w:r>
        <w:t xml:space="preserve"/>
      </w:r>
    </w:p>
    <w:p>
      <w:pPr>
        <w:pStyle w:val="Heading2"/>
      </w:pPr>
      <w:r>
        <w:rPr>
          <w:b/>
          <w:bCs/>
          <w:sz w:val="36"/>
          <w:szCs w:val="36"/>
        </w:rPr>
        <w:t xml:space="preserve">B.3.2 Encryption Key for Connector Credentials (ENG-001 / Tier 6)</w:t>
      </w:r>
    </w:p>
    <w:p>
      <w:r>
        <w:t xml:space="preserve"/>
      </w:r>
    </w:p>
    <w:p>
      <w: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ENCRYPTION_KEY.</w:t>
      </w:r>
    </w:p>
    <w:p>
      <w:r>
        <w:t xml:space="preserve"/>
      </w:r>
    </w:p>
    <w:p>
      <w:pPr>
        <w:pStyle w:val="Heading3"/>
      </w:pPr>
      <w:r>
        <w:rPr>
          <w:b/>
          <w:bCs/>
          <w:sz w:val="28"/>
          <w:szCs w:val="28"/>
        </w:rPr>
        <w:t xml:space="preserve">What the key protects</w:t>
      </w:r>
    </w:p>
    <w:p>
      <w:r>
        <w:t xml:space="preserve"/>
      </w:r>
    </w:p>
    <w:p>
      <w:r>
        <w:t xml:space="preserve">Without the key, connector credentials would sit in the data_sources.connection_config column as plaintext JSON — visible to any PostgreSQL superuser, to pg_dump output, and to anyone with a restored backup file. With the key, the column stores a Fernet envelope ({"v": 1, "ct": "..."}) that is opaque without the key. A stolen backup by itself is not enough to read the credentials; an attacker would need both the backup and the key.</w:t>
      </w:r>
    </w:p>
    <w:p>
      <w:r>
        <w:t xml:space="preserve"/>
      </w:r>
    </w:p>
    <w:p>
      <w:r>
        <w:t xml:space="preserve">This protects: API keys, OAuth2 client secrets, Basic-auth passwords, database connection strings, and any other sensitive field an admin typed into the Add Source wizard. It does not protect the raw ingested documents, search indexes, or request content — those are separate surfaces.</w:t>
      </w:r>
    </w:p>
    <w:p>
      <w:r>
        <w:t xml:space="preserve"/>
      </w:r>
    </w:p>
    <w:p>
      <w:pPr>
        <w:pStyle w:val="Heading3"/>
      </w:pPr>
      <w:r>
        <w:rPr>
          <w:b/>
          <w:bCs/>
          <w:sz w:val="28"/>
          <w:szCs w:val="28"/>
        </w:rPr>
        <w:t xml:space="preserve">Back up the key separately from the database — this is critical</w:t>
      </w:r>
    </w:p>
    <w:p>
      <w:r>
        <w:t xml:space="preserve"/>
      </w:r>
    </w:p>
    <w:p>
      <w:r>
        <w:t xml:space="preserve">Losing ENCRYPTION_KEY means losing every saved connector configuration. There is no recovery path. If the key is lost, every row in data_sources.connection_config becomes unreadable ciphertext and every connector must be re-entered by hand.</w:t>
      </w:r>
    </w:p>
    <w:p>
      <w:r>
        <w:t xml:space="preserve"/>
      </w:r>
    </w:p>
    <w:p>
      <w:r>
        <w:t xml:space="preserve">Do not store the key in the same place as the database backup. If your database backup tape or cloud bucket also contains the .env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r>
        <w:t xml:space="preserve"/>
      </w:r>
    </w:p>
    <w:p>
      <w:pPr>
        <w:pStyle w:val="Heading3"/>
      </w:pPr>
      <w:r>
        <w:rPr>
          <w:b/>
          <w:bCs/>
          <w:sz w:val="28"/>
          <w:szCs w:val="28"/>
        </w:rPr>
        <w:t xml:space="preserve">Generating a key manually</w:t>
      </w:r>
    </w:p>
    <w:p>
      <w:r>
        <w:t xml:space="preserve"/>
      </w:r>
    </w:p>
    <w:p>
      <w:r>
        <w:t xml:space="preserve">The installer generates a key automatically on a fresh install and writes it to .env with a loud red "BACK THIS UP SEPARATELY" banner. If you need to generate one by hand — for example, setting up .env in a new environment or filling in an .env.example placeholder — run:</w:t>
      </w:r>
    </w:p>
    <w:p>
      <w:r>
        <w:t xml:space="preserve"/>
      </w:r>
    </w:p>
    <w:p>
      <w:r>
        <w:t xml:space="preserve">```bash</w:t>
      </w:r>
    </w:p>
    <w:p>
      <w:r>
        <w:t xml:space="preserve">python -c "from cryptography.fernet import Fernet; print(Fernet.generate_key().decode())"</w:t>
      </w:r>
    </w:p>
    <w:p>
      <w:r>
        <w:t xml:space="preserve">```</w:t>
      </w:r>
    </w:p>
    <w:p>
      <w:r>
        <w:t xml:space="preserve"/>
      </w:r>
    </w:p>
    <w:p>
      <w:r>
        <w:t xml:space="preserve">Copy the output into .env as ENCRYPTION_KEY=.... The value must be a real URL-safe-base64 Fernet key; the system rejects common insecure defaults and obviously-malformed keys at startup rather than starting in a broken state.</w:t>
      </w:r>
    </w:p>
    <w:p>
      <w:r>
        <w:t xml:space="preserve"/>
      </w:r>
    </w:p>
    <w:p>
      <w:pPr>
        <w:pStyle w:val="Heading3"/>
      </w:pPr>
      <w:r>
        <w:rPr>
          <w:b/>
          <w:bCs/>
          <w:sz w:val="28"/>
          <w:szCs w:val="28"/>
        </w:rPr>
        <w:t xml:space="preserve">Verifying encryption after install or upgrade</w:t>
      </w:r>
    </w:p>
    <w:p>
      <w:r>
        <w:t xml:space="preserve"/>
      </w:r>
    </w:p>
    <w:p>
      <w:r>
        <w:t xml:space="preserve">Once the stack is running and the Tier 6 migration has applied, confirm every existing row is encrypted:</w:t>
      </w:r>
    </w:p>
    <w:p>
      <w:r>
        <w:t xml:space="preserve"/>
      </w:r>
    </w:p>
    <w:p>
      <w:r>
        <w:t xml:space="preserve">```bash</w:t>
      </w:r>
    </w:p>
    <w:p>
      <w:r>
        <w:t xml:space="preserve">docker compose run --rm --no-deps api python scripts/verify_at_rest.py</w:t>
      </w:r>
    </w:p>
    <w:p>
      <w:r>
        <w:t xml:space="preserve">```</w:t>
      </w:r>
    </w:p>
    <w:p>
      <w:r>
        <w:t xml:space="preserve"/>
      </w:r>
    </w:p>
    <w:p>
      <w:r>
        <w:t xml:space="preserve">Exit code 0 means every data_sources.connection_config row is envelope-shaped (encrypted). Exit code 1 means at least one row is still plaintext — stop and investigate before continuing. The admin UI behavior is unchanged in both cases: connector configs decrypt transparently on read, so a working admin GET does not by itself prove the column is encrypted.</w:t>
      </w:r>
    </w:p>
    <w:p>
      <w:r>
        <w:t xml:space="preserve"/>
      </w:r>
    </w:p>
    <w:p>
      <w:pPr>
        <w:pStyle w:val="Heading3"/>
      </w:pPr>
      <w:r>
        <w:rPr>
          <w:b/>
          <w:bCs/>
          <w:sz w:val="28"/>
          <w:szCs w:val="28"/>
        </w:rPr>
        <w:t xml:space="preserve">Key rotation is not supported in this release</w:t>
      </w:r>
    </w:p>
    <w:p>
      <w:r>
        <w:t xml:space="preserve"/>
      </w:r>
    </w:p>
    <w:p>
      <w:r>
        <w:t xml:space="preserve">This release supports a single active key. There is no procedure for rotating ENCRYPTION_KEY without manually re-encrypting every row. The envelope format carries a "v": 1 version tag so a future release can add rotation, but for now: pick a key at install time, back it up, and keep using it. If you believe the key has been compromised, contact the project maintainers — rotation tooling is tracked as a follow-on slice.</w:t>
      </w:r>
    </w:p>
    <w:p>
      <w:r>
        <w:t xml:space="preserve"/>
      </w:r>
    </w:p>
    <w:p>
      <w:pPr>
        <w:pStyle w:val="Heading3"/>
      </w:pPr>
      <w:r>
        <w:rPr>
          <w:b/>
          <w:bCs/>
          <w:sz w:val="28"/>
          <w:szCs w:val="28"/>
        </w:rPr>
        <w:t xml:space="preserve">What if I change or lose the key?</w:t>
      </w:r>
    </w:p>
    <w:p>
      <w:r>
        <w:t xml:space="preserve"/>
      </w:r>
    </w:p>
    <w:p>
      <w:pPr>
        <w:pStyle w:val="ListParagraph"/>
        <w:numPr>
          <w:ilvl w:val="0"/>
          <w:numId w:val="1"/>
        </w:numPr>
      </w:pPr>
      <w:r>
        <w:t xml:space="preserve">Changed to a new key: existing rows become unreadable. The admin UI will return errors when opening a saved source. Restore the original key from backup to recover.</w:t>
      </w:r>
    </w:p>
    <w:p>
      <w:pPr>
        <w:pStyle w:val="ListParagraph"/>
        <w:numPr>
          <w:ilvl w:val="0"/>
          <w:numId w:val="1"/>
        </w:numPr>
      </w:pPr>
      <w:r>
        <w:t xml:space="preserve">Lost entirely (no backup): the saved configurations cannot be recovered. Delete the affected rows and re-enter each connector from the admin UI. This is irreversible — which is why the backup instruction above is emphasized.</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B.5.0 Adding a Data Source (Wizard Walkthrough)</w:t>
      </w:r>
    </w:p>
    <w:p>
      <w:r>
        <w:t xml:space="preserve"/>
      </w:r>
    </w:p>
    <w:p>
      <w:r>
        <w:t xml:space="preserve">Admins add data sources through the Sources → Add Source button. The dialog is a three-step wizard:</w:t>
      </w:r>
    </w:p>
    <w:p>
      <w:r>
        <w:t xml:space="preserve"/>
      </w:r>
    </w:p>
    <w:p>
      <w:r>
        <w:t xml:space="preserve">Step 1 — Source name and type.</w:t>
      </w:r>
    </w:p>
    <w:p>
      <w:r>
        <w:t xml:space="preserve">1. 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r>
        <w:t xml:space="preserve">2. Pick a Source Type from the four choices: File System (local or mounted folder), Manual Drop (watched drop folder), REST API (HTTP endpoint), or ODBC / Database (SQL database via ODBC). The selection is keyboard-navigable — Tab into the group, then arrow keys to choose.</w:t>
      </w:r>
    </w:p>
    <w:p>
      <w:r>
        <w:t xml:space="preserve"/>
      </w:r>
    </w:p>
    <w:p>
      <w:r>
        <w:t xml:space="preserve">Step 2 — Connection details (the fields depend on the type you picked).</w:t>
      </w:r>
    </w:p>
    <w:p>
      <w:pPr>
        <w:pStyle w:val="ListParagraph"/>
        <w:numPr>
          <w:ilvl w:val="0"/>
          <w:numId w:val="1"/>
        </w:numPr>
      </w:pPr>
      <w:r>
        <w:t xml:space="preserve">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Paragraph"/>
        <w:numPr>
          <w:ilvl w:val="0"/>
          <w:numId w:val="1"/>
        </w:numPr>
      </w:pPr>
      <w:r>
        <w:t xml:space="preserve">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Paragraph"/>
        <w:numPr>
          <w:ilvl w:val="0"/>
          <w:numId w:val="1"/>
        </w:numPr>
      </w:pPr>
      <w:r>
        <w:t xml:space="preserve">ODBC / Database: enter the Connection String (required, stored encrypted), Table Name (required), Primary Key Column (required — used to track which rows have been ingested), and optional Modified Timestamp Column and Batch Size.</w:t>
      </w:r>
    </w:p>
    <w:p>
      <w:r>
        <w:t xml:space="preserve"/>
      </w:r>
    </w:p>
    <w:p>
      <w:r>
        <w:t xml:space="preserve">Step 3 — Review, schedule, and create.</w:t>
      </w:r>
    </w:p>
    <w:p>
      <w:r>
        <w:t xml:space="preserve">1. 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r>
        <w:t xml:space="preserve">2. Review the summary card — it shows the name, type, and key configuration values (secrets are masked).</w:t>
      </w:r>
    </w:p>
    <w:p>
      <w:r>
        <w:t xml:space="preserve">3. Click Test Connection to verify the credentials and destination. A green checkmark means the source is reachable; a red X shows the specific error returned by the connector.</w:t>
      </w:r>
    </w:p>
    <w:p>
      <w:r>
        <w:t xml:space="preserve">4. Click Create Source to save. If the backend rejects the create (invalid field, duplicate name, credential verification failure), the error is shown in a red banner at the bottom of the dialog with the exact message and the form is preserved so you can correct and retry.</w:t>
      </w:r>
    </w:p>
    <w:p>
      <w:r>
        <w:t xml:space="preserve"/>
      </w:r>
    </w:p>
    <w:p>
      <w:r>
        <w:t xml:space="preserve">What to do when a field is rejected.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gemma4:e4b (default) | Used for document analysis, AI summaries, and OCR on scanned PDFs |</w:t>
      </w:r>
    </w:p>
    <w:p>
      <w:r>
        <w:t xml:space="preserve"/>
      </w:r>
    </w:p>
    <w:p>
      <w:r>
        <w:t xml:space="preserve">Supported Gemma 4 models (the installer picker presents all four; only e2b and e4b are supportable at the 32 GB baseline target profile, 26b and 31b require stronger hardware):</w:t>
      </w:r>
    </w:p>
    <w:p>
      <w:r>
        <w:t xml:space="preserve"/>
      </w:r>
    </w:p>
    <w:p>
      <w:r>
        <w:t xml:space="preserve">| Tag | Class | Disk | RAM (advisory) | Supportable at baseline |</w:t>
      </w:r>
    </w:p>
    <w:p>
      <w:r>
        <w:t xml:space="preserve">|---|---|---|---|---|</w:t>
      </w:r>
    </w:p>
    <w:p>
      <w:r>
        <w:t xml:space="preserve">| gemma4:e2b | Edge 2.3B effective | 7.2 GB | ~16 GB | yes |</w:t>
      </w:r>
    </w:p>
    <w:p>
      <w:r>
        <w:t xml:space="preserve">| gemma4:e4b | Edge 4.5B effective (DEFAULT) | 9.6 GB | ~20 GB | yes |</w:t>
      </w:r>
    </w:p>
    <w:p>
      <w:r>
        <w:t xml:space="preserve">| gemma4:26b | Workstation MoE 25.2B/3.8B active | 18 GB | 48+ GB recommended | no |</w:t>
      </w:r>
    </w:p>
    <w:p>
      <w:r>
        <w:t xml:space="preserve">| gemma4:31b | Workstation dense 30.7B | 20 GB | 64+ GB, GPU recommended | no |</w:t>
      </w:r>
    </w:p>
    <w:p>
      <w:r>
        <w:t xml:space="preserve"/>
      </w:r>
    </w:p>
    <w:p>
      <w:r>
        <w:t xml:space="preserve">To change models:</w:t>
      </w:r>
    </w:p>
    <w:p>
      <w:r>
        <w:t xml:space="preserve">1. Go to Admin → Model Registry</w:t>
      </w:r>
    </w:p>
    <w:p>
      <w:r>
        <w:t xml:space="preserve">2. Select the model type</w:t>
      </w:r>
    </w:p>
    <w:p>
      <w:r>
        <w:t xml:space="preserve">3. Enter the Ollama model identifier (e.g., gemma4:e2b,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gemma4:e4b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gemma4:e4b  # Pull the default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2026-04-26T02:31:13.794Z</dcterms:created>
  <dcterms:modified xsi:type="dcterms:W3CDTF">2026-04-26T02:31:13.794Z</dcterms:modified>
</cp:coreProperties>
</file>

<file path=docProps/custom.xml><?xml version="1.0" encoding="utf-8"?>
<Properties xmlns="http://schemas.openxmlformats.org/officeDocument/2006/custom-properties" xmlns:vt="http://schemas.openxmlformats.org/officeDocument/2006/docPropsVTypes"/>
</file>