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macOS, and Windows if you prefer CLI). The scripts below configure and start the Docker Compose stack.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Phase 1 migration layer</w:t>
      </w:r>
    </w:p>
    <w:p>
      <w:r>
        <w:t xml:space="preserve"/>
      </w:r>
    </w:p>
    <w:p>
      <w:r>
        <w:t xml:space="preserve">CivicRecords AI backend installs civiccore (the shared CivicSuite schema + migration runtime) as a dependency. During the release-hardening window before PyPI publication, backend/pyproject.toml points at the versioned v0.1.0 GitHub release wheel rather than a Git SHA. This keeps the dependency reproducible without requiring git inside the backend image.</w:t>
      </w:r>
    </w:p>
    <w:p>
      <w:r>
        <w:t xml:space="preserve"/>
      </w:r>
    </w:p>
    <w:p>
      <w:r>
        <w:t xml:space="preserve">Migrations run in two layers: civiccore first (creates/updates the 16 shared tables), then this repo's Alembic chain on top. See ADR-0003 for the full gate contract.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 — min 12 chars; installer generates automatically; .env.example placeholder and common defaults rejected at startup)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v1.3.0 — 2026-04-25 release. Phase 1 CivicCore extraction landed: civiccore v0.1.0 is now consumed as a release-wheel dependency. Two-layer migration order — civiccore migrations run first via subprocess, then records-side. No API or UI changes (infrastructure only). See CHANGELOG and the v1.3.0 release notes for operator upgrade guidance.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593 backend + 36 frontend automated tests passing (GitHub Actions CI-verified, run 24817110396 on a57a897)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593 backend + 36 frontend tests (CI-verified on a57a897, run 24817110396);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(v1.3.0)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2026-04-25T07:08:27.348Z</dcterms:created>
  <dcterms:modified xsi:type="dcterms:W3CDTF">2026-04-25T07:08:27.348Z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