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2A4A"/>
          <w:sz w:val="52"/>
          <w:szCs w:val="52"/>
        </w:rPr>
        <w:t xml:space="preserve">Candor Ecosystem</w:t>
      </w:r>
    </w:p>
    <w:p>
      <w:pPr>
        <w:spacing w:after="120"/>
        <w:jc w:val="center"/>
      </w:pPr>
      <w:r>
        <w:rPr>
          <w:rFonts w:ascii="Arial" w:cs="Arial" w:eastAsia="Arial" w:hAnsi="Arial"/>
          <w:color w:val="5A5A5A"/>
          <w:sz w:val="28"/>
          <w:szCs w:val="28"/>
        </w:rPr>
        <w:t xml:space="preserve">Naming Convention &amp; Ecosystem Architecture</w:t>
      </w:r>
    </w:p>
    <w:p>
      <w:pPr>
        <w:spacing w:after="60"/>
        <w:jc w:val="center"/>
      </w:pPr>
      <w:r>
        <w:rPr>
          <w:rFonts w:ascii="Arial" w:cs="Arial" w:eastAsia="Arial" w:hAnsi="Arial"/>
          <w:color w:val="888888"/>
          <w:sz w:val="20"/>
          <w:szCs w:val="20"/>
        </w:rPr>
        <w:t xml:space="preserve">Version 0.1  |  April 2026  |  Scott Corley</w:t>
      </w:r>
    </w:p>
    <w:p>
      <w:pPr>
        <w:spacing w:after="400"/>
        <w:jc w:val="center"/>
      </w:pPr>
      <w:r>
        <w:rPr>
          <w:rFonts w:ascii="Arial" w:cs="Arial" w:eastAsia="Arial" w:hAnsi="Arial"/>
          <w:b/>
          <w:bCs/>
          <w:color w:val="CC4444"/>
          <w:sz w:val="20"/>
          <w:szCs w:val="20"/>
        </w:rPr>
        <w:t xml:space="preserve">INTERNAL DRAFT</w:t>
      </w:r>
    </w:p>
    <w:p>
      <w:pPr>
        <w:pStyle w:val="Heading1"/>
      </w:pPr>
      <w:r>
        <w:t xml:space="preserve">1. Philosophy</w:t>
      </w:r>
    </w:p>
    <w:p>
      <w:pPr>
        <w:spacing w:after="200"/>
      </w:pPr>
      <w:r>
        <w:rPr>
          <w:sz w:val="22"/>
          <w:szCs w:val="22"/>
        </w:rPr>
        <w:t xml:space="preserve">Code should mean exactly what it says, and say everything it means. The Candor naming convention extends this principle to the ecosystem itself. Every prefix, every casing choice, every punctuation mark communicates governance, trust level, and lifecycle stage. The name </w:t>
      </w:r>
      <w:r>
        <w:rPr>
          <w:i/>
          <w:iCs/>
          <w:sz w:val="22"/>
          <w:szCs w:val="22"/>
        </w:rPr>
        <w:t xml:space="preserve">is</w:t>
      </w:r>
      <w:r>
        <w:rPr>
          <w:sz w:val="22"/>
          <w:szCs w:val="22"/>
        </w:rPr>
        <w:t xml:space="preserve"> the documentation.</w:t>
      </w:r>
    </w:p>
    <w:p>
      <w:pPr>
        <w:pStyle w:val="Heading1"/>
      </w:pPr>
      <w:r>
        <w:t xml:space="preserve">2. Ecosystem Hierarchy</w:t>
      </w:r>
    </w:p>
    <w:p>
      <w:pPr>
        <w:spacing w:after="200"/>
      </w:pPr>
      <w:r>
        <w:rPr>
          <w:sz w:val="22"/>
          <w:szCs w:val="22"/>
        </w:rPr>
        <w:t xml:space="preserve">The Candor ecosystem is organized into a clear hierarchy of trust and integration, from the language itself down to community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2"/>
                <w:szCs w:val="22"/>
              </w:rPr>
              <w:t xml:space="preserve">Layer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2"/>
                <w:szCs w:val="22"/>
              </w:rPr>
              <w:t xml:space="preserve">Format</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1"/>
                <w:szCs w:val="21"/>
              </w:rPr>
              <w:t xml:space="preserve">Language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1"/>
                <w:szCs w:val="21"/>
              </w:rPr>
              <w:t xml:space="preserve">Candor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The language itself. The colloquial name used in conversation, documentation, and the spec.</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1"/>
                <w:szCs w:val="21"/>
              </w:rPr>
              <w:t xml:space="preserve">Foundation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nsolas" w:cs="Consolas" w:eastAsia="Consolas" w:hAnsi="Consolas"/>
                <w:b w:val="false"/>
                <w:bCs w:val="false"/>
                <w:color w:val="333333"/>
                <w:sz w:val="21"/>
                <w:szCs w:val="21"/>
              </w:rPr>
              <w:t xml:space="preserve">CandorCore (CC)</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1"/>
                <w:szCs w:val="21"/>
              </w:rPr>
              <w:t xml:space="preserve">The front-end and back-end compiler. Gets you to a level lower than C or Rust. This is the machine. The brand that owns the search space.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1"/>
                <w:szCs w:val="21"/>
              </w:rPr>
              <w:t xml:space="preserve">Community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1"/>
                <w:szCs w:val="21"/>
              </w:rPr>
              <w:t xml:space="preserve">ccStack-[name]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Uncertified, community, or experimental modules. Use at your own risk. The staging ground for ecosystem contributions.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1"/>
                <w:szCs w:val="21"/>
              </w:rPr>
              <w:t xml:space="preserve">Validation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nsolas" w:cs="Consolas" w:eastAsia="Consolas" w:hAnsi="Consolas"/>
                <w:b w:val="false"/>
                <w:bCs w:val="false"/>
                <w:color w:val="333333"/>
                <w:sz w:val="21"/>
                <w:szCs w:val="21"/>
              </w:rPr>
              <w:t xml:space="preserve">ccv-[Name]</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1"/>
                <w:szCs w:val="21"/>
              </w:rPr>
              <w:t xml:space="preserve">CandorCore Validation. Module is under active review, testing, and compliance checks. Capital letter begins to appear — earning its identity.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1"/>
                <w:szCs w:val="21"/>
              </w:rPr>
              <w:t xml:space="preserve">Certified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1"/>
                <w:szCs w:val="21"/>
              </w:rPr>
              <w:t xml:space="preserve">cc-[Name]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Approved, certified standalone layer in the official ecosystem. Vetted and compliant. Last step before full integration.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1"/>
                <w:szCs w:val="21"/>
              </w:rPr>
              <w:t xml:space="preserve">Integrated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nsolas" w:cs="Consolas" w:eastAsia="Consolas" w:hAnsi="Consolas"/>
                <w:b w:val="false"/>
                <w:bCs w:val="false"/>
                <w:color w:val="333333"/>
                <w:sz w:val="21"/>
                <w:szCs w:val="21"/>
              </w:rPr>
              <w:t xml:space="preserve">cc[Name]-[function]</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1"/>
                <w:szCs w:val="21"/>
              </w:rPr>
              <w:t xml:space="preserve">Fully integrated into the ecosystem. The name fuses with the cc prefix (no dash). Earns the right to define its own scoped sub-functions.</w:t>
            </w:r>
          </w:p>
        </w:tc>
      </w:tr>
    </w:tbl>
    <w:p>
      <w:pPr>
        <w:pStyle w:val="Heading1"/>
        <w:spacing w:before="400"/>
      </w:pPr>
      <w:r>
        <w:t xml:space="preserve">3. Module Lifecycle</w:t>
      </w:r>
    </w:p>
    <w:p>
      <w:pPr>
        <w:spacing w:after="200"/>
      </w:pPr>
      <w:r>
        <w:rPr>
          <w:sz w:val="22"/>
          <w:szCs w:val="22"/>
        </w:rPr>
        <w:t xml:space="preserve">Every module follows a four-stage graduation path. The naming convention itself communicates which stage a module is in.</w:t>
      </w:r>
    </w:p>
    <w:p>
      <w:pPr>
        <w:pStyle w:val="Heading2"/>
      </w:pPr>
      <w:r>
        <w:t xml:space="preserve">Stage 1: Community (ccStack-)</w:t>
      </w:r>
    </w:p>
    <w:p>
      <w:pPr>
        <w:spacing w:after="80"/>
      </w:pPr>
      <w:r>
        <w:rPr>
          <w:b/>
          <w:bCs/>
          <w:sz w:val="22"/>
          <w:szCs w:val="22"/>
        </w:rPr>
        <w:t xml:space="preserve">Format: </w:t>
      </w:r>
      <w:r>
        <w:rPr>
          <w:rFonts w:ascii="Consolas" w:cs="Consolas" w:eastAsia="Consolas" w:hAnsi="Consolas"/>
          <w:color w:val="8B4513"/>
          <w:sz w:val="22"/>
          <w:szCs w:val="22"/>
        </w:rPr>
        <w:t xml:space="preserve">ccStack-nvidia</w:t>
      </w:r>
    </w:p>
    <w:p>
      <w:pPr>
        <w:spacing w:after="200"/>
      </w:pPr>
      <w:r>
        <w:rPr>
          <w:sz w:val="22"/>
          <w:szCs w:val="22"/>
        </w:rPr>
        <w:t xml:space="preserve">Someone built a thing and put it out there. Uncertified, unreviewed, experimental. Contributors and community members submit modules here. This is the front door to the ecosystem.</w:t>
      </w:r>
    </w:p>
    <w:p>
      <w:pPr>
        <w:pStyle w:val="Heading2"/>
      </w:pPr>
      <w:r>
        <w:t xml:space="preserve">Stage 2: Validation (ccv-)</w:t>
      </w:r>
    </w:p>
    <w:p>
      <w:pPr>
        <w:spacing w:after="80"/>
      </w:pPr>
      <w:r>
        <w:rPr>
          <w:b/>
          <w:bCs/>
          <w:sz w:val="22"/>
          <w:szCs w:val="22"/>
        </w:rPr>
        <w:t xml:space="preserve">Format: </w:t>
      </w:r>
      <w:r>
        <w:rPr>
          <w:rFonts w:ascii="Consolas" w:cs="Consolas" w:eastAsia="Consolas" w:hAnsi="Consolas"/>
          <w:color w:val="8B4513"/>
          <w:sz w:val="22"/>
          <w:szCs w:val="22"/>
        </w:rPr>
        <w:t xml:space="preserve">ccv-Nvidia</w:t>
      </w:r>
    </w:p>
    <w:p>
      <w:pPr>
        <w:spacing w:after="200"/>
      </w:pPr>
      <w:r>
        <w:rPr>
          <w:sz w:val="22"/>
          <w:szCs w:val="22"/>
        </w:rPr>
        <w:t xml:space="preserve">CandorCore Validation. The module is under active review: being tested, checked for compliance, evaluated for quality. The capital letter begins to appear here — the module is earning its identity. This is the yellow light between community and certified.</w:t>
      </w:r>
    </w:p>
    <w:p>
      <w:pPr>
        <w:pStyle w:val="Heading2"/>
      </w:pPr>
      <w:r>
        <w:t xml:space="preserve">Stage 3: Certified (cc-)</w:t>
      </w:r>
    </w:p>
    <w:p>
      <w:pPr>
        <w:spacing w:after="80"/>
      </w:pPr>
      <w:r>
        <w:rPr>
          <w:b/>
          <w:bCs/>
          <w:sz w:val="22"/>
          <w:szCs w:val="22"/>
        </w:rPr>
        <w:t xml:space="preserve">Format: </w:t>
      </w:r>
      <w:r>
        <w:rPr>
          <w:rFonts w:ascii="Consolas" w:cs="Consolas" w:eastAsia="Consolas" w:hAnsi="Consolas"/>
          <w:color w:val="8B4513"/>
          <w:sz w:val="22"/>
          <w:szCs w:val="22"/>
        </w:rPr>
        <w:t xml:space="preserve">cc-Nvidia</w:t>
      </w:r>
    </w:p>
    <w:p>
      <w:pPr>
        <w:spacing w:after="200"/>
      </w:pPr>
      <w:r>
        <w:rPr>
          <w:sz w:val="22"/>
          <w:szCs w:val="22"/>
        </w:rPr>
        <w:t xml:space="preserve">Approved, certified, and compliant. An official standalone layer in the Candor ecosystem. The dash before the Name signals: accepted, but still its own module. This is the last step before full integration.</w:t>
      </w:r>
    </w:p>
    <w:p>
      <w:pPr>
        <w:pStyle w:val="Heading2"/>
      </w:pPr>
      <w:r>
        <w:t xml:space="preserve">Stage 4: Integrated (cc[Name]-)</w:t>
      </w:r>
    </w:p>
    <w:p>
      <w:pPr>
        <w:spacing w:after="80"/>
      </w:pPr>
      <w:r>
        <w:rPr>
          <w:b/>
          <w:bCs/>
          <w:sz w:val="22"/>
          <w:szCs w:val="22"/>
        </w:rPr>
        <w:t xml:space="preserve">Format: </w:t>
      </w:r>
      <w:r>
        <w:rPr>
          <w:rFonts w:ascii="Consolas" w:cs="Consolas" w:eastAsia="Consolas" w:hAnsi="Consolas"/>
          <w:color w:val="8B4513"/>
          <w:sz w:val="22"/>
          <w:szCs w:val="22"/>
        </w:rPr>
        <w:t xml:space="preserve">ccNvidia-gpu, ccNvidia-tensor</w:t>
      </w:r>
    </w:p>
    <w:p>
      <w:pPr>
        <w:spacing w:after="200"/>
      </w:pPr>
      <w:r>
        <w:rPr>
          <w:sz w:val="22"/>
          <w:szCs w:val="22"/>
        </w:rPr>
        <w:t xml:space="preserve">Fully graduated. The name fuses directly to the cc prefix with no separating dash — it is now part of CandorCore’s identity. At this stage the module earns the right to define its own scoped sub-functions via the trailing dash.</w:t>
      </w:r>
    </w:p>
    <w:p>
      <w:pPr>
        <w:pStyle w:val="Heading2"/>
      </w:pPr>
      <w:r>
        <w:t xml:space="preserve">Graduation Path</w:t>
      </w:r>
    </w:p>
    <w:p>
      <w:pPr>
        <w:spacing w:after="300" w:before="200"/>
        <w:jc w:val="center"/>
      </w:pPr>
      <w:r>
        <w:rPr>
          <w:rFonts w:ascii="Consolas" w:cs="Consolas" w:eastAsia="Consolas" w:hAnsi="Consolas"/>
          <w:color w:val="888888"/>
          <w:sz w:val="24"/>
          <w:szCs w:val="24"/>
        </w:rPr>
        <w:t xml:space="preserve">ccStack-nvidia</w:t>
      </w:r>
      <w:r>
        <w:rPr>
          <w:color w:val="AAAAAA"/>
          <w:sz w:val="24"/>
          <w:szCs w:val="24"/>
        </w:rPr>
        <w:t xml:space="preserve">  →  </w:t>
      </w:r>
      <w:r>
        <w:rPr>
          <w:rFonts w:ascii="Consolas" w:cs="Consolas" w:eastAsia="Consolas" w:hAnsi="Consolas"/>
          <w:color w:val="CC8800"/>
          <w:sz w:val="24"/>
          <w:szCs w:val="24"/>
        </w:rPr>
        <w:t xml:space="preserve">ccv-Nvidia</w:t>
      </w:r>
      <w:r>
        <w:rPr>
          <w:color w:val="AAAAAA"/>
          <w:sz w:val="24"/>
          <w:szCs w:val="24"/>
        </w:rPr>
        <w:t xml:space="preserve">  →  </w:t>
      </w:r>
      <w:r>
        <w:rPr>
          <w:rFonts w:ascii="Consolas" w:cs="Consolas" w:eastAsia="Consolas" w:hAnsi="Consolas"/>
          <w:color w:val="2E5090"/>
          <w:sz w:val="24"/>
          <w:szCs w:val="24"/>
        </w:rPr>
        <w:t xml:space="preserve">cc-Nvidia</w:t>
      </w:r>
      <w:r>
        <w:rPr>
          <w:color w:val="AAAAAA"/>
          <w:sz w:val="24"/>
          <w:szCs w:val="24"/>
        </w:rPr>
        <w:t xml:space="preserve">  →  </w:t>
      </w:r>
      <w:r>
        <w:rPr>
          <w:rFonts w:ascii="Consolas" w:cs="Consolas" w:eastAsia="Consolas" w:hAnsi="Consolas"/>
          <w:color w:val="1B6B1B"/>
          <w:sz w:val="24"/>
          <w:szCs w:val="24"/>
        </w:rPr>
        <w:t xml:space="preserve">ccNvidia-[fn]</w:t>
      </w:r>
    </w:p>
    <w:p>
      <w:r>
        <w:br w:type="page"/>
      </w:r>
    </w:p>
    <w:p>
      <w:pPr>
        <w:pStyle w:val="Heading1"/>
      </w:pPr>
      <w:r>
        <w:t xml:space="preserve">4. How the Convention Communicates</w:t>
      </w:r>
    </w:p>
    <w:p>
      <w:pPr>
        <w:spacing w:after="200"/>
      </w:pPr>
      <w:r>
        <w:rPr>
          <w:sz w:val="22"/>
          <w:szCs w:val="22"/>
        </w:rPr>
        <w:t xml:space="preserve">Every element of the naming format carries meaning. A developer glances at a module name and immediately knows its trust level, governance status, and scope — without checking any external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2"/>
                <w:szCs w:val="22"/>
              </w:rPr>
              <w:t xml:space="preserve">Signal</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2"/>
                <w:szCs w:val="22"/>
              </w:rPr>
              <w:t xml:space="preserve">Convention</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2"/>
                <w:szCs w:val="22"/>
              </w:rPr>
              <w:t xml:space="preserve">Meaning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1"/>
                <w:szCs w:val="21"/>
              </w:rPr>
              <w:t xml:space="preserve">Prefix cc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1"/>
                <w:szCs w:val="21"/>
              </w:rPr>
              <w:t xml:space="preserve">cc...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Part of the CandorCore ecosystem</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1"/>
                <w:szCs w:val="21"/>
              </w:rPr>
              <w:t xml:space="preserve">CamelCase "Stack"</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nsolas" w:cs="Consolas" w:eastAsia="Consolas" w:hAnsi="Consolas"/>
                <w:b w:val="false"/>
                <w:bCs w:val="false"/>
                <w:color w:val="333333"/>
                <w:sz w:val="21"/>
                <w:szCs w:val="21"/>
              </w:rPr>
              <w:t xml:space="preserve">ccStack-</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1"/>
                <w:szCs w:val="21"/>
              </w:rPr>
              <w:t xml:space="preserve">Community / experimental tier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1"/>
                <w:szCs w:val="21"/>
              </w:rPr>
              <w:t xml:space="preserve">Lowercase "v"</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1"/>
                <w:szCs w:val="21"/>
              </w:rPr>
              <w:t xml:space="preserve">ccv-</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In validation / under review</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1"/>
                <w:szCs w:val="21"/>
              </w:rPr>
              <w:t xml:space="preserve">Dash before Name</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nsolas" w:cs="Consolas" w:eastAsia="Consolas" w:hAnsi="Consolas"/>
                <w:b w:val="false"/>
                <w:bCs w:val="false"/>
                <w:color w:val="333333"/>
                <w:sz w:val="21"/>
                <w:szCs w:val="21"/>
              </w:rPr>
              <w:t xml:space="preserve">cc-Name, ccv-Name</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1"/>
                <w:szCs w:val="21"/>
              </w:rPr>
              <w:t xml:space="preserve">Standalone module, not yet fused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1"/>
                <w:szCs w:val="21"/>
              </w:rPr>
              <w:t xml:space="preserve">No dash before Name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1"/>
                <w:szCs w:val="21"/>
              </w:rPr>
              <w:t xml:space="preserve">ccName-fn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Fully integrated, part of Core identity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1"/>
                <w:szCs w:val="21"/>
              </w:rPr>
              <w:t xml:space="preserve">Dash after Name</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nsolas" w:cs="Consolas" w:eastAsia="Consolas" w:hAnsi="Consolas"/>
                <w:b w:val="false"/>
                <w:bCs w:val="false"/>
                <w:color w:val="333333"/>
                <w:sz w:val="21"/>
                <w:szCs w:val="21"/>
              </w:rPr>
              <w:t xml:space="preserve">ccName-function</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1"/>
                <w:szCs w:val="21"/>
              </w:rPr>
              <w:t xml:space="preserve">Scoped sub-function (earned privilege)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1"/>
                <w:szCs w:val="21"/>
              </w:rPr>
              <w:t xml:space="preserve">Capital letter in Name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1"/>
                <w:szCs w:val="21"/>
              </w:rPr>
              <w:t xml:space="preserve">ccv-Nvidia vs ccStack-nvidia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1"/>
                <w:szCs w:val="21"/>
              </w:rPr>
              <w:t xml:space="preserve">Appears at validation; the module is earning its identity</w:t>
            </w:r>
          </w:p>
        </w:tc>
      </w:tr>
    </w:tbl>
    <w:p>
      <w:pPr>
        <w:pStyle w:val="Heading1"/>
        <w:spacing w:before="400"/>
      </w:pPr>
      <w:r>
        <w:t xml:space="preserve">5. Examples</w:t>
      </w:r>
    </w:p>
    <w:p>
      <w:pPr>
        <w:spacing w:after="200"/>
      </w:pPr>
      <w:r>
        <w:rPr>
          <w:sz w:val="22"/>
          <w:szCs w:val="22"/>
        </w:rPr>
        <w:t xml:space="preserve">Below are examples of how modules might appear at each lifecycle stage, along with projected ecosystem namespaces.</w:t>
      </w:r>
    </w:p>
    <w:p>
      <w:pPr>
        <w:pStyle w:val="Heading3"/>
      </w:pPr>
      <w:r>
        <w:t xml:space="preserve">Module Lifecycle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2"/>
                <w:szCs w:val="22"/>
              </w:rPr>
              <w:t xml:space="preserve">Community</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2"/>
                <w:szCs w:val="22"/>
              </w:rPr>
              <w:t xml:space="preserve">Validation</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2"/>
                <w:szCs w:val="22"/>
              </w:rPr>
              <w:t xml:space="preserve">Certified</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2"/>
                <w:szCs w:val="22"/>
              </w:rPr>
              <w:t xml:space="preserve">Integrated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1"/>
                <w:szCs w:val="21"/>
              </w:rPr>
              <w:t xml:space="preserve">ccStack-nvidia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1"/>
                <w:szCs w:val="21"/>
              </w:rPr>
              <w:t xml:space="preserve">ccv-Nvidia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1"/>
                <w:szCs w:val="21"/>
              </w:rPr>
              <w:t xml:space="preserve">cc-Nvidia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1"/>
                <w:szCs w:val="21"/>
              </w:rPr>
              <w:t xml:space="preserve">ccNvidia-gpu</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nsolas" w:cs="Consolas" w:eastAsia="Consolas" w:hAnsi="Consolas"/>
                <w:b w:val="false"/>
                <w:bCs w:val="false"/>
                <w:color w:val="333333"/>
                <w:sz w:val="21"/>
                <w:szCs w:val="21"/>
              </w:rPr>
              <w:t xml:space="preserve">ccStack-wasm</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nsolas" w:cs="Consolas" w:eastAsia="Consolas" w:hAnsi="Consolas"/>
                <w:b w:val="false"/>
                <w:bCs w:val="false"/>
                <w:color w:val="333333"/>
                <w:sz w:val="21"/>
                <w:szCs w:val="21"/>
              </w:rPr>
              <w:t xml:space="preserve">ccv-Wasm</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nsolas" w:cs="Consolas" w:eastAsia="Consolas" w:hAnsi="Consolas"/>
                <w:b w:val="false"/>
                <w:bCs w:val="false"/>
                <w:color w:val="333333"/>
                <w:sz w:val="21"/>
                <w:szCs w:val="21"/>
              </w:rPr>
              <w:t xml:space="preserve">cc-Wasm</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nsolas" w:cs="Consolas" w:eastAsia="Consolas" w:hAnsi="Consolas"/>
                <w:b w:val="false"/>
                <w:bCs w:val="false"/>
                <w:color w:val="333333"/>
                <w:sz w:val="21"/>
                <w:szCs w:val="21"/>
              </w:rPr>
              <w:t xml:space="preserve">ccWasm-runtime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1"/>
                <w:szCs w:val="21"/>
              </w:rPr>
              <w:t xml:space="preserve">ccStack-lsp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1"/>
                <w:szCs w:val="21"/>
              </w:rPr>
              <w:t xml:space="preserve">ccv-Lsp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1"/>
                <w:szCs w:val="21"/>
              </w:rPr>
              <w:t xml:space="preserve">cc-Lsp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1"/>
                <w:szCs w:val="21"/>
              </w:rPr>
              <w:t xml:space="preserve">ccLsp-hints</w:t>
            </w:r>
          </w:p>
        </w:tc>
      </w:tr>
    </w:tbl>
    <w:p>
      <w:pPr>
        <w:pStyle w:val="Heading3"/>
        <w:spacing w:before="300"/>
      </w:pPr>
      <w:r>
        <w:t xml:space="preserve">Projected Ecosystem Namespace</w:t>
      </w:r>
    </w:p>
    <w:p>
      <w:pPr>
        <w:spacing w:after="100"/>
      </w:pPr>
      <w:r>
        <w:rPr>
          <w:sz w:val="22"/>
          <w:szCs w:val="22"/>
        </w:rPr>
        <w:t xml:space="preserve">As the ecosystem matures, the namespace naturally organizes:</w:t>
      </w:r>
    </w:p>
    <w:p>
      <w:pPr>
        <w:pStyle w:val="ListParagraph"/>
        <w:numPr>
          <w:ilvl w:val="0"/>
          <w:numId w:val="2"/>
        </w:numPr>
        <w:spacing w:after="60"/>
      </w:pPr>
      <w:r>
        <w:rPr>
          <w:rFonts w:ascii="Consolas" w:cs="Consolas" w:eastAsia="Consolas" w:hAnsi="Consolas"/>
          <w:sz w:val="22"/>
          <w:szCs w:val="22"/>
        </w:rPr>
        <w:t xml:space="preserve">candor-core</w:t>
      </w:r>
      <w:r>
        <w:rPr>
          <w:sz w:val="22"/>
          <w:szCs w:val="22"/>
        </w:rPr>
        <w:t xml:space="preserve"> — the compiler (repo name)</w:t>
      </w:r>
    </w:p>
    <w:p>
      <w:pPr>
        <w:pStyle w:val="ListParagraph"/>
        <w:numPr>
          <w:ilvl w:val="0"/>
          <w:numId w:val="2"/>
        </w:numPr>
        <w:spacing w:after="60"/>
      </w:pPr>
      <w:r>
        <w:rPr>
          <w:rFonts w:ascii="Consolas" w:cs="Consolas" w:eastAsia="Consolas" w:hAnsi="Consolas"/>
          <w:sz w:val="22"/>
          <w:szCs w:val="22"/>
        </w:rPr>
        <w:t xml:space="preserve">ccStd-collections</w:t>
      </w:r>
      <w:r>
        <w:rPr>
          <w:sz w:val="22"/>
          <w:szCs w:val="22"/>
        </w:rPr>
        <w:t xml:space="preserve"> — standard library: collections</w:t>
      </w:r>
    </w:p>
    <w:p>
      <w:pPr>
        <w:pStyle w:val="ListParagraph"/>
        <w:numPr>
          <w:ilvl w:val="0"/>
          <w:numId w:val="2"/>
        </w:numPr>
        <w:spacing w:after="60"/>
      </w:pPr>
      <w:r>
        <w:rPr>
          <w:rFonts w:ascii="Consolas" w:cs="Consolas" w:eastAsia="Consolas" w:hAnsi="Consolas"/>
          <w:sz w:val="22"/>
          <w:szCs w:val="22"/>
        </w:rPr>
        <w:t xml:space="preserve">ccNvidia-tensor</w:t>
      </w:r>
      <w:r>
        <w:rPr>
          <w:sz w:val="22"/>
          <w:szCs w:val="22"/>
        </w:rPr>
        <w:t xml:space="preserve"> — official NVIDIA tensor support</w:t>
      </w:r>
    </w:p>
    <w:p>
      <w:pPr>
        <w:pStyle w:val="ListParagraph"/>
        <w:numPr>
          <w:ilvl w:val="0"/>
          <w:numId w:val="2"/>
        </w:numPr>
        <w:spacing w:after="60"/>
      </w:pPr>
      <w:r>
        <w:rPr>
          <w:rFonts w:ascii="Consolas" w:cs="Consolas" w:eastAsia="Consolas" w:hAnsi="Consolas"/>
          <w:sz w:val="22"/>
          <w:szCs w:val="22"/>
        </w:rPr>
        <w:t xml:space="preserve">ccWasm-runtime</w:t>
      </w:r>
      <w:r>
        <w:rPr>
          <w:sz w:val="22"/>
          <w:szCs w:val="22"/>
        </w:rPr>
        <w:t xml:space="preserve"> — official WebAssembly runtime</w:t>
      </w:r>
    </w:p>
    <w:p>
      <w:pPr>
        <w:pStyle w:val="ListParagraph"/>
        <w:numPr>
          <w:ilvl w:val="0"/>
          <w:numId w:val="2"/>
        </w:numPr>
        <w:spacing w:after="60"/>
      </w:pPr>
      <w:r>
        <w:rPr>
          <w:rFonts w:ascii="Consolas" w:cs="Consolas" w:eastAsia="Consolas" w:hAnsi="Consolas"/>
          <w:sz w:val="22"/>
          <w:szCs w:val="22"/>
        </w:rPr>
        <w:t xml:space="preserve">ccStack-fastmath</w:t>
      </w:r>
      <w:r>
        <w:rPr>
          <w:sz w:val="22"/>
          <w:szCs w:val="22"/>
        </w:rPr>
        <w:t xml:space="preserve"> — community fast-math module (uncertified)</w:t>
      </w:r>
    </w:p>
    <w:p>
      <w:pPr>
        <w:pStyle w:val="ListParagraph"/>
        <w:numPr>
          <w:ilvl w:val="0"/>
          <w:numId w:val="2"/>
        </w:numPr>
        <w:spacing w:after="200"/>
      </w:pPr>
      <w:r>
        <w:rPr>
          <w:rFonts w:ascii="Consolas" w:cs="Consolas" w:eastAsia="Consolas" w:hAnsi="Consolas"/>
          <w:sz w:val="22"/>
          <w:szCs w:val="22"/>
        </w:rPr>
        <w:t xml:space="preserve">ccv-Fastmath</w:t>
      </w:r>
      <w:r>
        <w:rPr>
          <w:sz w:val="22"/>
          <w:szCs w:val="22"/>
        </w:rPr>
        <w:t xml:space="preserve"> — same module, now in validation</w:t>
      </w:r>
    </w:p>
    <w:p>
      <w:pPr>
        <w:pStyle w:val="Heading1"/>
      </w:pPr>
      <w:r>
        <w:t xml:space="preserve">6. Searchability Strategy</w:t>
      </w:r>
    </w:p>
    <w:p>
      <w:pPr>
        <w:spacing w:after="200"/>
      </w:pPr>
      <w:r>
        <w:rPr>
          <w:sz w:val="22"/>
          <w:szCs w:val="22"/>
        </w:rPr>
        <w:t xml:space="preserve">The name "Candor" already exists in the programming language space (a 2012 GitHub project by indutny). CandorCore as the project brand solves this by creating a unique, searchable identity. The recommended approach:</w:t>
      </w:r>
    </w:p>
    <w:p>
      <w:pPr>
        <w:pStyle w:val="ListParagraph"/>
        <w:numPr>
          <w:ilvl w:val="0"/>
          <w:numId w:val="2"/>
        </w:numPr>
        <w:spacing w:after="60"/>
      </w:pPr>
      <w:r>
        <w:rPr>
          <w:sz w:val="22"/>
          <w:szCs w:val="22"/>
        </w:rPr>
        <w:t xml:space="preserve">GitHub repo: candor-core</w:t>
      </w:r>
    </w:p>
    <w:p>
      <w:pPr>
        <w:pStyle w:val="ListParagraph"/>
        <w:numPr>
          <w:ilvl w:val="0"/>
          <w:numId w:val="2"/>
        </w:numPr>
        <w:spacing w:after="60"/>
      </w:pPr>
      <w:r>
        <w:rPr>
          <w:sz w:val="22"/>
          <w:szCs w:val="22"/>
        </w:rPr>
        <w:t xml:space="preserve">Domain: candorcore.dev or candor-core.dev</w:t>
      </w:r>
    </w:p>
    <w:p>
      <w:pPr>
        <w:pStyle w:val="ListParagraph"/>
        <w:numPr>
          <w:ilvl w:val="0"/>
          <w:numId w:val="2"/>
        </w:numPr>
        <w:spacing w:after="60"/>
      </w:pPr>
      <w:r>
        <w:rPr>
          <w:sz w:val="22"/>
          <w:szCs w:val="22"/>
        </w:rPr>
        <w:t xml:space="preserve">Social handles: @candorcore</w:t>
      </w:r>
    </w:p>
    <w:p>
      <w:pPr>
        <w:pStyle w:val="ListParagraph"/>
        <w:numPr>
          <w:ilvl w:val="0"/>
          <w:numId w:val="2"/>
        </w:numPr>
        <w:spacing w:after="200"/>
      </w:pPr>
      <w:r>
        <w:rPr>
          <w:sz w:val="22"/>
          <w:szCs w:val="22"/>
        </w:rPr>
        <w:t xml:space="preserve">Search phrase: "CandorCore programming language"</w:t>
      </w:r>
    </w:p>
    <w:p>
      <w:pPr>
        <w:pStyle w:val="Heading1"/>
      </w:pPr>
      <w:r>
        <w:t xml:space="preserve">7. Next Steps</w:t>
      </w:r>
    </w:p>
    <w:p>
      <w:pPr>
        <w:pStyle w:val="ListParagraph"/>
        <w:numPr>
          <w:ilvl w:val="0"/>
          <w:numId w:val="2"/>
        </w:numPr>
        <w:spacing w:after="60"/>
      </w:pPr>
      <w:r>
        <w:rPr>
          <w:sz w:val="22"/>
          <w:szCs w:val="22"/>
        </w:rPr>
        <w:t xml:space="preserve">Rename GitHub repo from scottcorleyg1/candor to candor-core</w:t>
      </w:r>
    </w:p>
    <w:p>
      <w:pPr>
        <w:pStyle w:val="ListParagraph"/>
        <w:numPr>
          <w:ilvl w:val="0"/>
          <w:numId w:val="2"/>
        </w:numPr>
        <w:spacing w:after="60"/>
      </w:pPr>
      <w:r>
        <w:rPr>
          <w:sz w:val="22"/>
          <w:szCs w:val="22"/>
        </w:rPr>
        <w:t xml:space="preserve">Update repo description and topics for search optimization</w:t>
      </w:r>
    </w:p>
    <w:p>
      <w:pPr>
        <w:pStyle w:val="ListParagraph"/>
        <w:numPr>
          <w:ilvl w:val="0"/>
          <w:numId w:val="2"/>
        </w:numPr>
        <w:spacing w:after="60"/>
      </w:pPr>
      <w:r>
        <w:rPr>
          <w:sz w:val="22"/>
          <w:szCs w:val="22"/>
        </w:rPr>
        <w:t xml:space="preserve">Add this naming convention to the repository as a contributor guide</w:t>
      </w:r>
    </w:p>
    <w:p>
      <w:pPr>
        <w:pStyle w:val="ListParagraph"/>
        <w:numPr>
          <w:ilvl w:val="0"/>
          <w:numId w:val="2"/>
        </w:numPr>
        <w:spacing w:after="60"/>
      </w:pPr>
      <w:r>
        <w:rPr>
          <w:sz w:val="22"/>
          <w:szCs w:val="22"/>
        </w:rPr>
        <w:t xml:space="preserve">Define formal compliance criteria for ccStack to cc- graduation</w:t>
      </w:r>
    </w:p>
    <w:p>
      <w:pPr>
        <w:pStyle w:val="ListParagraph"/>
        <w:numPr>
          <w:ilvl w:val="0"/>
          <w:numId w:val="2"/>
        </w:numPr>
        <w:spacing w:after="60"/>
      </w:pPr>
      <w:r>
        <w:rPr>
          <w:sz w:val="22"/>
          <w:szCs w:val="22"/>
        </w:rPr>
        <w:t xml:space="preserve">Set up GitHub Pages or a project domain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Candor Naming Convention &amp; Ecosystem Architecture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CANDOR ECOSYSTEM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2026-04-12T00:19:47.904Z</dcterms:created>
  <dcterms:modified xsi:type="dcterms:W3CDTF">2026-04-12T00:19:47.904Z</dcterms:modified>
</cp:coreProperties>
</file>

<file path=docProps/custom.xml><?xml version="1.0" encoding="utf-8"?>
<Properties xmlns="http://schemas.openxmlformats.org/officeDocument/2006/custom-properties" xmlns:vt="http://schemas.openxmlformats.org/officeDocument/2006/docPropsVTypes"/>
</file>