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48A52" w14:textId="262C73A4" w:rsidR="00EE7C58" w:rsidRDefault="004C6531" w:rsidP="000827C9">
      <w:pPr>
        <w:ind w:firstLine="0"/>
      </w:pPr>
      <w:r>
        <w:t>Scott Courchaine</w:t>
      </w:r>
    </w:p>
    <w:p w14:paraId="125D1553" w14:textId="36F1551F" w:rsidR="004C6531" w:rsidRDefault="004C6531" w:rsidP="000827C9">
      <w:pPr>
        <w:ind w:firstLine="0"/>
      </w:pPr>
      <w:r>
        <w:t>CS 499 – Capstone Enhancement</w:t>
      </w:r>
    </w:p>
    <w:p w14:paraId="635B626C" w14:textId="32893F0E" w:rsidR="00EE5D4E" w:rsidRDefault="00EE5D4E" w:rsidP="000827C9">
      <w:pPr>
        <w:ind w:firstLine="0"/>
      </w:pPr>
      <w:r>
        <w:t>Data Structures and Algorithms</w:t>
      </w:r>
    </w:p>
    <w:p w14:paraId="5644C4FD" w14:textId="5AEA67D8" w:rsidR="00EE5D4E" w:rsidRDefault="00EE5D4E" w:rsidP="000827C9">
      <w:pPr>
        <w:ind w:firstLine="0"/>
      </w:pPr>
      <w:r>
        <w:t>March 27, 2020</w:t>
      </w:r>
    </w:p>
    <w:p w14:paraId="6D9EBCDB" w14:textId="32D861A8" w:rsidR="00EE5D4E" w:rsidRDefault="00EE5D4E" w:rsidP="000827C9">
      <w:pPr>
        <w:ind w:firstLine="0"/>
      </w:pPr>
      <w:r>
        <w:tab/>
        <w:t xml:space="preserve">For the data structures and algorithms portion of the capstone, I have decided to improve my CS 340 final for </w:t>
      </w:r>
      <w:r w:rsidR="004C4524">
        <w:t>Client/Server Development. Using the Codio environment</w:t>
      </w:r>
      <w:r w:rsidR="005B24C5">
        <w:t xml:space="preserve"> and the previously imported json file for the market database and stocks collection, </w:t>
      </w:r>
      <w:r w:rsidR="00C07420">
        <w:t xml:space="preserve">I have created a few enhancements. </w:t>
      </w:r>
    </w:p>
    <w:p w14:paraId="3227472B" w14:textId="4EBB9507" w:rsidR="00126A18" w:rsidRDefault="00126A18" w:rsidP="000827C9">
      <w:pPr>
        <w:ind w:firstLine="0"/>
      </w:pPr>
      <w:r>
        <w:tab/>
        <w:t>To show my understanding of data structures and how documents within MongoDB can be embedded</w:t>
      </w:r>
      <w:r w:rsidR="00216F38">
        <w:t xml:space="preserve">, I first accessed </w:t>
      </w:r>
      <w:r w:rsidR="00D91D72">
        <w:t>MongoDB</w:t>
      </w:r>
      <w:r w:rsidR="00F70D68">
        <w:t xml:space="preserve"> for the server</w:t>
      </w:r>
      <w:r w:rsidR="00FA4010">
        <w:t>-side</w:t>
      </w:r>
      <w:r w:rsidR="00D91D72">
        <w:t xml:space="preserve"> using “sudo mong</w:t>
      </w:r>
      <w:r w:rsidR="002C6B32">
        <w:t>od” in one terminal</w:t>
      </w:r>
      <w:r w:rsidR="005327B8">
        <w:t>. For the client</w:t>
      </w:r>
      <w:r w:rsidR="00F354C1">
        <w:t>-side</w:t>
      </w:r>
      <w:r w:rsidR="005327B8">
        <w:t xml:space="preserve">, I accessed MongoDB using “sudo mongo” in another terminal. Once connected on the client side, </w:t>
      </w:r>
      <w:r w:rsidR="00BC5B00">
        <w:t>I accessed the market database, which can be seen below:</w:t>
      </w:r>
    </w:p>
    <w:p w14:paraId="2E296D40" w14:textId="5434C94D" w:rsidR="00BC5B00" w:rsidRDefault="00C832B1" w:rsidP="00C832B1">
      <w:pPr>
        <w:ind w:firstLine="0"/>
        <w:jc w:val="center"/>
      </w:pPr>
      <w:r>
        <w:rPr>
          <w:noProof/>
        </w:rPr>
        <w:drawing>
          <wp:inline distT="0" distB="0" distL="0" distR="0" wp14:anchorId="59A5BDFF" wp14:editId="4676BCC6">
            <wp:extent cx="56292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72DB" w14:textId="58D3A8BE" w:rsidR="00C832B1" w:rsidRDefault="00C27664" w:rsidP="00C832B1">
      <w:pPr>
        <w:ind w:firstLine="0"/>
      </w:pPr>
      <w:r>
        <w:tab/>
        <w:t xml:space="preserve">I performed a query to see </w:t>
      </w:r>
      <w:r w:rsidR="00C6012B">
        <w:t xml:space="preserve">the </w:t>
      </w:r>
      <w:r>
        <w:t>last field listed within a document</w:t>
      </w:r>
      <w:r w:rsidR="005E73BD">
        <w:t xml:space="preserve">, which happened to be “50-Day Simple Moving Average”. </w:t>
      </w:r>
      <w:r w:rsidR="00B57BE2">
        <w:t xml:space="preserve">I decided to add a new field to this list called “Company Info”. </w:t>
      </w:r>
      <w:r w:rsidR="006A7018">
        <w:t xml:space="preserve">This field would serve as the parent </w:t>
      </w:r>
      <w:r w:rsidR="00B3795B">
        <w:t>node to two other child nodes, “Date Founded” and “</w:t>
      </w:r>
      <w:r w:rsidR="00A102AE">
        <w:t>CEO”. “Date Founded</w:t>
      </w:r>
      <w:r w:rsidR="00F81EBF">
        <w:t>”</w:t>
      </w:r>
      <w:r w:rsidR="00A102AE">
        <w:t xml:space="preserve"> would serve as the parent node to two child nodes, “Month(XX)” and “Year(XXXX)”. </w:t>
      </w:r>
      <w:r w:rsidR="003718C2">
        <w:t xml:space="preserve">“CEO” would serve as the </w:t>
      </w:r>
      <w:r w:rsidR="00D71C56">
        <w:t xml:space="preserve">parent node to </w:t>
      </w:r>
      <w:r w:rsidR="00DD069C">
        <w:t xml:space="preserve">two child nodes, </w:t>
      </w:r>
      <w:r w:rsidR="00D71C56">
        <w:t>“</w:t>
      </w:r>
      <w:r w:rsidR="005F4528">
        <w:t xml:space="preserve">First </w:t>
      </w:r>
      <w:r w:rsidR="00D71C56">
        <w:t>Name”</w:t>
      </w:r>
      <w:r w:rsidR="005F4528">
        <w:t xml:space="preserve"> and </w:t>
      </w:r>
      <w:r w:rsidR="00DD069C">
        <w:t>“</w:t>
      </w:r>
      <w:r w:rsidR="00503560">
        <w:t>Last Name”</w:t>
      </w:r>
      <w:r w:rsidR="00B60DC0">
        <w:t>. Using t</w:t>
      </w:r>
      <w:r w:rsidR="00936FA8">
        <w:t>hese embedded fields, I ca</w:t>
      </w:r>
      <w:r w:rsidR="007B63B8">
        <w:t xml:space="preserve">n show my understanding of how data structures </w:t>
      </w:r>
      <w:r w:rsidR="007B63B8">
        <w:lastRenderedPageBreak/>
        <w:t>work. The following image shows exactly how to add these fields to every single document within the stocks collection:</w:t>
      </w:r>
    </w:p>
    <w:p w14:paraId="44B89ACD" w14:textId="6718C748" w:rsidR="007B63B8" w:rsidRDefault="00503560" w:rsidP="007B63B8">
      <w:pPr>
        <w:ind w:firstLine="0"/>
        <w:jc w:val="center"/>
      </w:pPr>
      <w:r>
        <w:rPr>
          <w:noProof/>
        </w:rPr>
        <w:drawing>
          <wp:inline distT="0" distB="0" distL="0" distR="0" wp14:anchorId="5AE0F12B" wp14:editId="0859E4AA">
            <wp:extent cx="5943600" cy="329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064C" w14:textId="7B4FDB29" w:rsidR="008A1784" w:rsidRDefault="008A1784" w:rsidP="008A1784">
      <w:pPr>
        <w:ind w:firstLine="0"/>
      </w:pPr>
      <w:r>
        <w:t xml:space="preserve">The bottom line of output shows </w:t>
      </w:r>
      <w:r w:rsidR="00542106">
        <w:t xml:space="preserve">that 6757 items were matched and the same amount of items were modified. This means that each document in the </w:t>
      </w:r>
      <w:r w:rsidR="003224B5">
        <w:t>collection was updated to include the new embedded fields. Performing a find query allows me to see my results were successful:</w:t>
      </w:r>
    </w:p>
    <w:p w14:paraId="4197BFA3" w14:textId="3EB0ED34" w:rsidR="003224B5" w:rsidRDefault="00667561" w:rsidP="003224B5">
      <w:pPr>
        <w:ind w:firstLine="0"/>
        <w:jc w:val="center"/>
      </w:pPr>
      <w:r>
        <w:rPr>
          <w:noProof/>
        </w:rPr>
        <w:drawing>
          <wp:inline distT="0" distB="0" distL="0" distR="0" wp14:anchorId="23708445" wp14:editId="2E8EFDF2">
            <wp:extent cx="2095500" cy="25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B7E3" w14:textId="30C12383" w:rsidR="00667561" w:rsidRDefault="002378C9" w:rsidP="003224B5">
      <w:pPr>
        <w:ind w:firstLine="0"/>
        <w:jc w:val="center"/>
      </w:pPr>
      <w:r>
        <w:rPr>
          <w:noProof/>
        </w:rPr>
        <w:drawing>
          <wp:inline distT="0" distB="0" distL="0" distR="0" wp14:anchorId="1612C947" wp14:editId="69C070A6">
            <wp:extent cx="43815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6A99" w14:textId="408E237C" w:rsidR="000E24B7" w:rsidRDefault="00F80984" w:rsidP="00F80984">
      <w:pPr>
        <w:ind w:firstLine="0"/>
      </w:pPr>
      <w:r>
        <w:t>As seen above, the previous</w:t>
      </w:r>
      <w:r w:rsidR="006F7C6C">
        <w:t xml:space="preserve"> field in the</w:t>
      </w:r>
      <w:r>
        <w:t xml:space="preserve"> </w:t>
      </w:r>
      <w:r w:rsidR="002A2AF7">
        <w:t>last</w:t>
      </w:r>
      <w:r w:rsidR="006F7C6C">
        <w:t xml:space="preserve"> position,</w:t>
      </w:r>
      <w:r w:rsidR="002A2AF7">
        <w:t xml:space="preserve"> “50-Day Simple Moving Average”</w:t>
      </w:r>
      <w:r w:rsidR="004553F1">
        <w:t>,</w:t>
      </w:r>
      <w:r w:rsidR="007D0A7E">
        <w:t xml:space="preserve"> is now followed by the new fields I have created. </w:t>
      </w:r>
      <w:r w:rsidR="001055B4">
        <w:t xml:space="preserve">I can actually go a bit further in </w:t>
      </w:r>
      <w:r w:rsidR="006D6A0F">
        <w:t xml:space="preserve">the data structure category </w:t>
      </w:r>
      <w:r w:rsidR="00DB6364">
        <w:t xml:space="preserve">by setting these values. </w:t>
      </w:r>
      <w:r w:rsidR="005E5CC4">
        <w:t xml:space="preserve">To set these values for a specific </w:t>
      </w:r>
      <w:r w:rsidR="00B52487">
        <w:t xml:space="preserve">document, one can use an </w:t>
      </w:r>
      <w:r w:rsidR="00D2509B">
        <w:t xml:space="preserve">update function </w:t>
      </w:r>
      <w:r w:rsidR="00BB2457">
        <w:t xml:space="preserve">while specifying a particular </w:t>
      </w:r>
      <w:r w:rsidR="00AB0269">
        <w:t>key/value pair</w:t>
      </w:r>
      <w:r w:rsidR="003618B7">
        <w:t xml:space="preserve">. I chose to update </w:t>
      </w:r>
      <w:r w:rsidR="00EA1032">
        <w:t xml:space="preserve">the </w:t>
      </w:r>
      <w:r w:rsidR="00D339F9">
        <w:t xml:space="preserve">one </w:t>
      </w:r>
      <w:r w:rsidR="00EA1032">
        <w:t xml:space="preserve">document with </w:t>
      </w:r>
      <w:r w:rsidR="003618B7">
        <w:t xml:space="preserve">the “Ticker” key </w:t>
      </w:r>
      <w:r w:rsidR="00D339F9">
        <w:t>having a</w:t>
      </w:r>
      <w:r w:rsidR="003618B7">
        <w:t xml:space="preserve"> value of “A”. I used this actual company of </w:t>
      </w:r>
      <w:r w:rsidR="009A10B6">
        <w:t>Agilent Technologies</w:t>
      </w:r>
      <w:r w:rsidR="004D7A91">
        <w:t xml:space="preserve"> and updated the proper information to go into the system</w:t>
      </w:r>
      <w:r w:rsidR="00180BBF">
        <w:t xml:space="preserve"> (</w:t>
      </w:r>
      <w:r w:rsidR="001623B5">
        <w:t xml:space="preserve">Agilent, </w:t>
      </w:r>
      <w:r w:rsidR="000E24B7">
        <w:t>n.d.)</w:t>
      </w:r>
      <w:r w:rsidR="004D7A91">
        <w:t>.</w:t>
      </w:r>
      <w:r w:rsidR="00F3085D">
        <w:t xml:space="preserve"> This can be seen below:</w:t>
      </w:r>
    </w:p>
    <w:p w14:paraId="1CC782E5" w14:textId="43402F01" w:rsidR="00F3085D" w:rsidRDefault="005A5238" w:rsidP="00F3085D">
      <w:pPr>
        <w:ind w:firstLine="0"/>
        <w:jc w:val="center"/>
      </w:pPr>
      <w:r>
        <w:rPr>
          <w:noProof/>
        </w:rPr>
        <w:drawing>
          <wp:inline distT="0" distB="0" distL="0" distR="0" wp14:anchorId="10A346E3" wp14:editId="26FC972C">
            <wp:extent cx="5943600" cy="322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FFCD" w14:textId="738179F7" w:rsidR="005A5238" w:rsidRDefault="008C13BB" w:rsidP="008C13BB">
      <w:pPr>
        <w:ind w:firstLine="0"/>
      </w:pPr>
      <w:r>
        <w:lastRenderedPageBreak/>
        <w:t>The results of this update can be seen below after performing another query</w:t>
      </w:r>
      <w:r w:rsidR="00F92EBD">
        <w:t>:</w:t>
      </w:r>
    </w:p>
    <w:p w14:paraId="4930F6C2" w14:textId="70AEA24C" w:rsidR="00F92EBD" w:rsidRDefault="00F92EBD" w:rsidP="00F92EBD">
      <w:pPr>
        <w:ind w:firstLine="0"/>
        <w:jc w:val="center"/>
      </w:pPr>
      <w:r>
        <w:rPr>
          <w:noProof/>
        </w:rPr>
        <w:drawing>
          <wp:inline distT="0" distB="0" distL="0" distR="0" wp14:anchorId="3257EB7E" wp14:editId="71F21F7B">
            <wp:extent cx="4962525" cy="1543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3E1C" w14:textId="3D472FFB" w:rsidR="00F92EBD" w:rsidRDefault="006448B0" w:rsidP="00F92EBD">
      <w:pPr>
        <w:ind w:firstLine="0"/>
        <w:jc w:val="center"/>
      </w:pPr>
      <w:r>
        <w:rPr>
          <w:noProof/>
        </w:rPr>
        <w:drawing>
          <wp:inline distT="0" distB="0" distL="0" distR="0" wp14:anchorId="6F089748" wp14:editId="37A0A2F6">
            <wp:extent cx="4695825" cy="2286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B656" w14:textId="55CF01E2" w:rsidR="009F6DAB" w:rsidRDefault="003B4A21" w:rsidP="00F80984">
      <w:pPr>
        <w:ind w:firstLine="0"/>
      </w:pPr>
      <w:r>
        <w:tab/>
      </w:r>
      <w:r w:rsidR="0076314E">
        <w:t>For the algorithm portion of th</w:t>
      </w:r>
      <w:r w:rsidR="00637C24">
        <w:t xml:space="preserve">e enhancement, </w:t>
      </w:r>
      <w:r w:rsidR="001E6EED">
        <w:t>I decided to use an aggregate pipeline to help display a se</w:t>
      </w:r>
      <w:r w:rsidR="00F34F92">
        <w:t xml:space="preserve">quence of instructions that the Codio environment must compile. </w:t>
      </w:r>
      <w:r w:rsidR="004929CD">
        <w:t xml:space="preserve">For starters, I made sure I was in a terminal that was already accessing the client-side of MongoDB. </w:t>
      </w:r>
      <w:r w:rsidR="00E261A7">
        <w:t>Then I performed an aggregate pipeline that filtered through the 6</w:t>
      </w:r>
      <w:r w:rsidR="00CD4914">
        <w:t>,</w:t>
      </w:r>
      <w:r w:rsidR="00E261A7">
        <w:t>7</w:t>
      </w:r>
      <w:r w:rsidR="00CD4914">
        <w:t xml:space="preserve">57 documents. I made sure that </w:t>
      </w:r>
      <w:r w:rsidR="00090847">
        <w:t xml:space="preserve">the data was sorted starting with the </w:t>
      </w:r>
      <w:r w:rsidR="00155CE8">
        <w:t xml:space="preserve">highest amount of EPS growth from the past five years and descending downward. </w:t>
      </w:r>
      <w:r w:rsidR="005E1BA1">
        <w:t xml:space="preserve">I then made sure the results matched the </w:t>
      </w:r>
      <w:r w:rsidR="00C24CD0">
        <w:t>“Utilities” sector</w:t>
      </w:r>
      <w:r w:rsidR="00602D9B">
        <w:t xml:space="preserve">. I then made sure the resulting documents were displayed by the </w:t>
      </w:r>
      <w:r w:rsidR="009F6DAB">
        <w:t xml:space="preserve">ticker, the EPS growth in the past five years, and also the company name. </w:t>
      </w:r>
      <w:r w:rsidR="00CD3F4D">
        <w:t xml:space="preserve">I deactivated </w:t>
      </w:r>
      <w:r w:rsidR="00BC5A58">
        <w:t xml:space="preserve">the id so the results would not show that field. </w:t>
      </w:r>
      <w:r w:rsidR="009F6DAB">
        <w:t>Lastly, I limited the results to just 10. The following is an image of my pipeline and results:</w:t>
      </w:r>
    </w:p>
    <w:p w14:paraId="0B6A7D93" w14:textId="0B4AE08B" w:rsidR="009F6DAB" w:rsidRDefault="001A6180" w:rsidP="009F6DA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C295F1A" wp14:editId="44360F10">
            <wp:extent cx="5943600" cy="1251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AF2F" w14:textId="643319F7" w:rsidR="001E6DDB" w:rsidRDefault="00513BB0" w:rsidP="00513BB0">
      <w:r>
        <w:t xml:space="preserve">To show, how this </w:t>
      </w:r>
      <w:r w:rsidR="005C12DB">
        <w:t xml:space="preserve">pipeline works again, I created another example. I chose </w:t>
      </w:r>
      <w:r w:rsidR="00D71400">
        <w:t xml:space="preserve">to sort the documents by the highest performance of the year to date and </w:t>
      </w:r>
      <w:r w:rsidR="0076273D">
        <w:t xml:space="preserve">move in descending order. I then matched the industry to </w:t>
      </w:r>
      <w:r w:rsidR="00712EBC">
        <w:t>match the medical laboratories and research</w:t>
      </w:r>
      <w:r w:rsidR="00F41E19">
        <w:t xml:space="preserve">. I projected </w:t>
      </w:r>
      <w:r w:rsidR="006B6BAD">
        <w:t xml:space="preserve">the results by the company, </w:t>
      </w:r>
      <w:r w:rsidR="003A5D66">
        <w:t xml:space="preserve">the performance year to date, and the performance </w:t>
      </w:r>
      <w:r w:rsidR="00E95D75">
        <w:t xml:space="preserve">measured that week. </w:t>
      </w:r>
      <w:r w:rsidR="00765718">
        <w:t xml:space="preserve">I also deactivated the id so it wouldn’t be shown in the results. Lastly, I limited these results to just </w:t>
      </w:r>
      <w:r w:rsidR="001E6DDB">
        <w:t>10. The following image shows the pipeline and the results:</w:t>
      </w:r>
    </w:p>
    <w:p w14:paraId="177814F7" w14:textId="6ABE037C" w:rsidR="00DC4825" w:rsidRDefault="001C25BC" w:rsidP="00DC4825">
      <w:pPr>
        <w:jc w:val="center"/>
      </w:pPr>
      <w:r>
        <w:rPr>
          <w:noProof/>
        </w:rPr>
        <w:drawing>
          <wp:inline distT="0" distB="0" distL="0" distR="0" wp14:anchorId="06B27584" wp14:editId="744DE102">
            <wp:extent cx="5943600" cy="1259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8C55" w14:textId="7877CB55" w:rsidR="001C25BC" w:rsidRDefault="001C25BC" w:rsidP="001C25BC">
      <w:r>
        <w:t>The results I have produced shows my understanding of MongoDB and how to utilize data structures and algorithms to</w:t>
      </w:r>
      <w:r w:rsidR="002422FD">
        <w:t xml:space="preserve"> solve particular issues. </w:t>
      </w:r>
      <w:r w:rsidR="00E54849">
        <w:t xml:space="preserve">These activities have proven </w:t>
      </w:r>
      <w:r w:rsidR="00BF37A5">
        <w:t>to be a success in enhancing my project</w:t>
      </w:r>
      <w:r w:rsidR="00F36EC0">
        <w:t>, while</w:t>
      </w:r>
      <w:r w:rsidR="00BF37A5">
        <w:t xml:space="preserve"> sharing my skills and </w:t>
      </w:r>
      <w:r w:rsidR="00F36EC0">
        <w:t xml:space="preserve">displaying my </w:t>
      </w:r>
      <w:r w:rsidR="004B4A9D">
        <w:t xml:space="preserve">comprehension </w:t>
      </w:r>
      <w:r w:rsidR="00F36EC0">
        <w:t>of the material.</w:t>
      </w:r>
      <w:bookmarkStart w:id="0" w:name="_GoBack"/>
      <w:bookmarkEnd w:id="0"/>
    </w:p>
    <w:p w14:paraId="5294FD2D" w14:textId="03D8A05D" w:rsidR="00513BB0" w:rsidRDefault="00513BB0" w:rsidP="00513BB0">
      <w:r>
        <w:t xml:space="preserve"> </w:t>
      </w:r>
    </w:p>
    <w:p w14:paraId="06FE699E" w14:textId="77777777" w:rsidR="000E24B7" w:rsidRDefault="000E24B7" w:rsidP="00F80984">
      <w:pPr>
        <w:ind w:firstLine="0"/>
      </w:pPr>
      <w:r>
        <w:t>Source:</w:t>
      </w:r>
    </w:p>
    <w:p w14:paraId="7C7C24DD" w14:textId="17AEFC8A" w:rsidR="00F80984" w:rsidRDefault="000E24B7" w:rsidP="00017B2D">
      <w:pPr>
        <w:ind w:left="720" w:hanging="720"/>
      </w:pPr>
      <w:r>
        <w:t xml:space="preserve">“Company History” (n.d.). </w:t>
      </w:r>
      <w:r w:rsidR="00F7429A">
        <w:rPr>
          <w:i/>
          <w:iCs/>
        </w:rPr>
        <w:t>Agilent</w:t>
      </w:r>
      <w:r w:rsidR="00F7429A">
        <w:t xml:space="preserve">. Retrieved on March 27, 2020 from </w:t>
      </w:r>
      <w:hyperlink r:id="rId13" w:history="1">
        <w:r w:rsidR="00017B2D" w:rsidRPr="00421D5B">
          <w:rPr>
            <w:rStyle w:val="Hyperlink"/>
          </w:rPr>
          <w:t>https://www.agilent.com/about/companyinfo/history/</w:t>
        </w:r>
      </w:hyperlink>
      <w:r w:rsidR="00017B2D">
        <w:t xml:space="preserve">. </w:t>
      </w:r>
      <w:r w:rsidR="004D7A91">
        <w:t xml:space="preserve"> </w:t>
      </w:r>
    </w:p>
    <w:sectPr w:rsidR="00F8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89"/>
    <w:rsid w:val="00017B2D"/>
    <w:rsid w:val="000827C9"/>
    <w:rsid w:val="00090847"/>
    <w:rsid w:val="000E24B7"/>
    <w:rsid w:val="001055B4"/>
    <w:rsid w:val="00126A18"/>
    <w:rsid w:val="00155CE8"/>
    <w:rsid w:val="001623B5"/>
    <w:rsid w:val="00180BBF"/>
    <w:rsid w:val="001A6180"/>
    <w:rsid w:val="001C25BC"/>
    <w:rsid w:val="001E6DDB"/>
    <w:rsid w:val="001E6EED"/>
    <w:rsid w:val="00216F38"/>
    <w:rsid w:val="002378C9"/>
    <w:rsid w:val="002422FD"/>
    <w:rsid w:val="002A2AF7"/>
    <w:rsid w:val="002A59B8"/>
    <w:rsid w:val="002C6B32"/>
    <w:rsid w:val="00302C3E"/>
    <w:rsid w:val="003224B5"/>
    <w:rsid w:val="003618B7"/>
    <w:rsid w:val="003718C2"/>
    <w:rsid w:val="003A5D66"/>
    <w:rsid w:val="003B4A21"/>
    <w:rsid w:val="003F6320"/>
    <w:rsid w:val="004553F1"/>
    <w:rsid w:val="004929CD"/>
    <w:rsid w:val="004B4A9D"/>
    <w:rsid w:val="004C4524"/>
    <w:rsid w:val="004C6531"/>
    <w:rsid w:val="004D7A91"/>
    <w:rsid w:val="00503560"/>
    <w:rsid w:val="00513BB0"/>
    <w:rsid w:val="005327B8"/>
    <w:rsid w:val="00542106"/>
    <w:rsid w:val="005657C9"/>
    <w:rsid w:val="005A5238"/>
    <w:rsid w:val="005A5C08"/>
    <w:rsid w:val="005B24C5"/>
    <w:rsid w:val="005C12DB"/>
    <w:rsid w:val="005E1BA1"/>
    <w:rsid w:val="005E5CC4"/>
    <w:rsid w:val="005E73BD"/>
    <w:rsid w:val="005F4528"/>
    <w:rsid w:val="00602D9B"/>
    <w:rsid w:val="00637C24"/>
    <w:rsid w:val="006448B0"/>
    <w:rsid w:val="00667561"/>
    <w:rsid w:val="006A7018"/>
    <w:rsid w:val="006B6BAD"/>
    <w:rsid w:val="006D6A0F"/>
    <w:rsid w:val="006F7C6C"/>
    <w:rsid w:val="00712EBC"/>
    <w:rsid w:val="0076273D"/>
    <w:rsid w:val="0076314E"/>
    <w:rsid w:val="00765718"/>
    <w:rsid w:val="007B63B8"/>
    <w:rsid w:val="007D0A7E"/>
    <w:rsid w:val="008A1784"/>
    <w:rsid w:val="008C13BB"/>
    <w:rsid w:val="00936FA8"/>
    <w:rsid w:val="009A10B6"/>
    <w:rsid w:val="009F6DAB"/>
    <w:rsid w:val="00A102AE"/>
    <w:rsid w:val="00A20489"/>
    <w:rsid w:val="00AB0269"/>
    <w:rsid w:val="00B3795B"/>
    <w:rsid w:val="00B52487"/>
    <w:rsid w:val="00B57BE2"/>
    <w:rsid w:val="00B60DC0"/>
    <w:rsid w:val="00BB2457"/>
    <w:rsid w:val="00BC5A58"/>
    <w:rsid w:val="00BC5B00"/>
    <w:rsid w:val="00BF37A5"/>
    <w:rsid w:val="00C07420"/>
    <w:rsid w:val="00C24CD0"/>
    <w:rsid w:val="00C27664"/>
    <w:rsid w:val="00C6012B"/>
    <w:rsid w:val="00C832B1"/>
    <w:rsid w:val="00CD3F4D"/>
    <w:rsid w:val="00CD4914"/>
    <w:rsid w:val="00CF7B73"/>
    <w:rsid w:val="00D2509B"/>
    <w:rsid w:val="00D339F9"/>
    <w:rsid w:val="00D71400"/>
    <w:rsid w:val="00D71C56"/>
    <w:rsid w:val="00D91D72"/>
    <w:rsid w:val="00DB6364"/>
    <w:rsid w:val="00DC4825"/>
    <w:rsid w:val="00DD069C"/>
    <w:rsid w:val="00E13586"/>
    <w:rsid w:val="00E261A7"/>
    <w:rsid w:val="00E44DD3"/>
    <w:rsid w:val="00E54849"/>
    <w:rsid w:val="00E6499E"/>
    <w:rsid w:val="00E67522"/>
    <w:rsid w:val="00E95D75"/>
    <w:rsid w:val="00EA1032"/>
    <w:rsid w:val="00EE5D4E"/>
    <w:rsid w:val="00EE7C58"/>
    <w:rsid w:val="00F3085D"/>
    <w:rsid w:val="00F34F92"/>
    <w:rsid w:val="00F354C1"/>
    <w:rsid w:val="00F36EC0"/>
    <w:rsid w:val="00F41E19"/>
    <w:rsid w:val="00F70D68"/>
    <w:rsid w:val="00F7429A"/>
    <w:rsid w:val="00F80984"/>
    <w:rsid w:val="00F81EBF"/>
    <w:rsid w:val="00F92EBD"/>
    <w:rsid w:val="00FA4010"/>
    <w:rsid w:val="00FE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F9BC"/>
  <w15:chartTrackingRefBased/>
  <w15:docId w15:val="{97FDD7F7-3EDB-4033-BCD8-8657BABF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agilent.com/about/companyinfo/history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Courchaine</dc:creator>
  <cp:keywords/>
  <dc:description/>
  <cp:lastModifiedBy>Scott Courchaine</cp:lastModifiedBy>
  <cp:revision>105</cp:revision>
  <dcterms:created xsi:type="dcterms:W3CDTF">2020-03-27T18:52:00Z</dcterms:created>
  <dcterms:modified xsi:type="dcterms:W3CDTF">2020-03-27T22:34:00Z</dcterms:modified>
</cp:coreProperties>
</file>