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color w:val="555555"/>
          <w:sz w:val="28"/>
          <w:szCs w:val="28"/>
        </w:rPr>
        <w:t xml:space="preserve">Dynatrace Workflow</w:t>
      </w:r>
    </w:p>
    <w:p>
      <w:pPr>
        <w:pBdr>
          <w:bottom w:val="single" w:color="6E2FA0" w:sz="10" w:space="6"/>
        </w:pBdr>
        <w:spacing w:after="480" w:before="0"/>
        <w:jc w:val="center"/>
      </w:pPr>
      <w:r>
        <w:rPr>
          <w:rFonts w:ascii="Arial" w:cs="Arial" w:eastAsia="Arial" w:hAnsi="Arial"/>
          <w:b/>
          <w:bCs/>
          <w:color w:val="6E2FA0"/>
          <w:sz w:val="56"/>
          <w:szCs w:val="56"/>
        </w:rPr>
        <w:t xml:space="preserve">Create Synthetic Browser Monitor</w:t>
      </w:r>
    </w:p>
    <w:p>
      <w:pPr>
        <w:spacing w:after="120" w:before="240"/>
        <w:jc w:val="center"/>
      </w:pPr>
      <w:r>
        <w:rPr>
          <w:rFonts w:ascii="Arial" w:cs="Arial" w:eastAsia="Arial" w:hAnsi="Arial"/>
          <w:color w:val="1A1A2E"/>
          <w:sz w:val="30"/>
          <w:szCs w:val="30"/>
        </w:rPr>
        <w:t xml:space="preserve">Usage and Post-Creation Editing Guide</w:t>
      </w:r>
    </w:p>
    <w:p>
      <w:pPr>
        <w:spacing w:after="960" w:before="120"/>
        <w:jc w:val="center"/>
      </w:pPr>
      <w:r>
        <w:rPr>
          <w:rFonts w:ascii="Arial" w:cs="Arial" w:eastAsia="Arial" w:hAnsi="Arial"/>
          <w:color w:val="555555"/>
          <w:sz w:val="22"/>
          <w:szCs w:val="22"/>
        </w:rPr>
        <w:t xml:space="preserve">Go 1.21  |  kubectl 1.30  |  Azure Kubernetes Service</w:t>
      </w:r>
    </w:p>
    <w:p>
      <w:r>
        <w:br w:type="page"/>
      </w:r>
    </w:p>
    <w:p>
      <w:pPr>
        <w:pStyle w:val="Heading1"/>
        <w:pBdr>
          <w:bottom w:val="single" w:color="6E2FA0" w:sz="6" w:space="4"/>
        </w:pBdr>
        <w:spacing w:after="160" w:before="320"/>
      </w:pPr>
      <w:r>
        <w:rPr>
          <w:rFonts w:ascii="Arial" w:cs="Arial" w:eastAsia="Arial" w:hAnsi="Arial"/>
          <w:b/>
          <w:bCs/>
          <w:color w:val="6E2FA0"/>
          <w:sz w:val="36"/>
          <w:szCs w:val="36"/>
        </w:rPr>
        <w:t xml:space="preserve">1. Overview</w:t>
      </w:r>
    </w:p>
    <w:p>
      <w:pPr>
        <w:spacing w:after="120" w:before="120"/>
        <w:jc w:val="left"/>
      </w:pPr>
      <w:r>
        <w:rPr>
          <w:rFonts w:ascii="Arial" w:cs="Arial" w:eastAsia="Arial" w:hAnsi="Arial"/>
          <w:b w:val="false"/>
          <w:bCs w:val="false"/>
          <w:color w:val="1A1A2E"/>
          <w:sz w:val="22"/>
          <w:szCs w:val="22"/>
        </w:rPr>
        <w:t xml:space="preserve">The "Create Synthetic Browser Monitor" workflow automates the provisioning of a Dynatrace synthetic browser monitor via the Dynatrace Automations platform. Rather than manually configuring a monitor through the Dynatrace UI, the workflow accepts structured parameters, validates them, constructs the full API request body, and calls the Synthetic Monitors REST API on your behalf.</w:t>
      </w:r>
    </w:p>
    <w:p>
      <w:pPr>
        <w:spacing w:after="60" w:before="60"/>
      </w:pPr>
    </w:p>
    <w:p>
      <w:pPr>
        <w:spacing w:after="120" w:before="120"/>
        <w:jc w:val="left"/>
      </w:pPr>
      <w:r>
        <w:rPr>
          <w:rFonts w:ascii="Arial" w:cs="Arial" w:eastAsia="Arial" w:hAnsi="Arial"/>
          <w:b w:val="false"/>
          <w:bCs w:val="false"/>
          <w:color w:val="1A1A2E"/>
          <w:sz w:val="22"/>
          <w:szCs w:val="22"/>
        </w:rPr>
        <w:t xml:space="preserve">Once the workflow completes successfully, the new monitor appears immediately in the Dynatrace Synthetics catalog. From that point forward, all further configuration changes — URLs, frequency, locations, anomaly thresholds, and script steps — are made directly through the Dynatrace UI as described in Section 5 of this guide.</w:t>
      </w:r>
    </w:p>
    <w:p>
      <w:pPr>
        <w:spacing w:after="60" w:before="60"/>
      </w:pPr>
    </w:p>
    <w:p>
      <w:pPr>
        <w:pStyle w:val="Heading2"/>
        <w:spacing w:after="120" w:before="240"/>
      </w:pPr>
      <w:r>
        <w:rPr>
          <w:rFonts w:ascii="Arial" w:cs="Arial" w:eastAsia="Arial" w:hAnsi="Arial"/>
          <w:b/>
          <w:bCs/>
          <w:color w:val="1A1A2E"/>
          <w:sz w:val="28"/>
          <w:szCs w:val="28"/>
        </w:rPr>
        <w:t xml:space="preserve">1.1  Included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File</w:t>
            </w:r>
          </w:p>
        </w:tc>
        <w:tc>
          <w:tcPr>
            <w:tcW w:type="dxa" w:w="18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Type</w:t>
            </w:r>
          </w:p>
        </w:tc>
        <w:tc>
          <w:tcPr>
            <w:tcW w:type="dxa" w:w="476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dynatrace-workflow-create-browser-monitor.json</w:t>
            </w:r>
          </w:p>
        </w:tc>
        <w:tc>
          <w:tcPr>
            <w:tcW w:type="dxa" w:w="18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Workflow Definition</w:t>
            </w:r>
          </w:p>
        </w:tc>
        <w:tc>
          <w:tcPr>
            <w:tcW w:type="dxa" w:w="47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Import into Dynatrace Automations to register the workflow.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workflow-submitter.go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Go 1.21 CLI Tool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Upserts the workflow and triggers a live execution from the command line or a Kubernetes Job.</w:t>
            </w:r>
          </w:p>
        </w:tc>
      </w:tr>
      <w:tr>
        <w:tc>
          <w:tcPr>
            <w:tcW w:type="dxa" w:w="28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dynatrace-workflow-submitter.yaml</w:t>
            </w:r>
          </w:p>
        </w:tc>
        <w:tc>
          <w:tcPr>
            <w:tcW w:type="dxa" w:w="18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Kubernetes Manifests</w:t>
            </w:r>
          </w:p>
        </w:tc>
        <w:tc>
          <w:tcPr>
            <w:tcW w:type="dxa" w:w="47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AKS Job, Secret, ConfigMap, and ServiceAccount for running the submitter on-cluster.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go.mod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Go Module File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Declares the Go module. No external dependencies — standard library only.</w:t>
            </w:r>
          </w:p>
        </w:tc>
      </w:tr>
    </w:tbl>
    <w:p>
      <w:pPr>
        <w:spacing w:after="60" w:before="60"/>
      </w:pPr>
    </w:p>
    <w:p>
      <w:r>
        <w:br w:type="page"/>
      </w:r>
    </w:p>
    <w:p>
      <w:pPr>
        <w:pStyle w:val="Heading1"/>
        <w:pBdr>
          <w:bottom w:val="single" w:color="6E2FA0" w:sz="6" w:space="4"/>
        </w:pBdr>
        <w:spacing w:after="160" w:before="320"/>
      </w:pPr>
      <w:r>
        <w:rPr>
          <w:rFonts w:ascii="Arial" w:cs="Arial" w:eastAsia="Arial" w:hAnsi="Arial"/>
          <w:b/>
          <w:bCs/>
          <w:color w:val="6E2FA0"/>
          <w:sz w:val="36"/>
          <w:szCs w:val="36"/>
        </w:rPr>
        <w:t xml:space="preserve">2. Prerequisites</w:t>
      </w:r>
    </w:p>
    <w:p>
      <w:pPr>
        <w:pStyle w:val="Heading2"/>
        <w:spacing w:after="120" w:before="240"/>
      </w:pPr>
      <w:r>
        <w:rPr>
          <w:rFonts w:ascii="Arial" w:cs="Arial" w:eastAsia="Arial" w:hAnsi="Arial"/>
          <w:b/>
          <w:bCs/>
          <w:color w:val="1A1A2E"/>
          <w:sz w:val="28"/>
          <w:szCs w:val="28"/>
        </w:rPr>
        <w:t xml:space="preserve">2.1  Dynatrace API Token</w:t>
      </w:r>
    </w:p>
    <w:p>
      <w:pPr>
        <w:spacing w:after="120" w:before="120"/>
        <w:jc w:val="left"/>
      </w:pPr>
      <w:r>
        <w:rPr>
          <w:rFonts w:ascii="Arial" w:cs="Arial" w:eastAsia="Arial" w:hAnsi="Arial"/>
          <w:b w:val="false"/>
          <w:bCs w:val="false"/>
          <w:color w:val="1A1A2E"/>
          <w:sz w:val="22"/>
          <w:szCs w:val="22"/>
        </w:rPr>
        <w:t xml:space="preserve">An API token with the following scopes is required. Tokens are created under Settings &gt; Access tokens in the Dynatrace UI.</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Scope</w:t>
            </w:r>
          </w:p>
        </w:tc>
        <w:tc>
          <w:tcPr>
            <w:tcW w:type="dxa" w:w="32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Token Permission Name</w:t>
            </w:r>
          </w:p>
        </w:tc>
        <w:tc>
          <w:tcPr>
            <w:tcW w:type="dxa" w:w="336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Used For</w:t>
            </w:r>
          </w:p>
        </w:tc>
      </w:tr>
      <w:tr>
        <w:tc>
          <w:tcPr>
            <w:tcW w:type="dxa" w:w="28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ExternalSyntheticIntegration</w:t>
            </w:r>
          </w:p>
        </w:tc>
        <w:tc>
          <w:tcPr>
            <w:tcW w:type="dxa" w:w="32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Create and read synthetic monitors</w:t>
            </w:r>
          </w:p>
        </w:tc>
        <w:tc>
          <w:tcPr>
            <w:tcW w:type="dxa" w:w="33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POST /api/v1/synthetic/monitors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WriteConfig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Write configuration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Upsert workflow via Automations API</w:t>
            </w:r>
          </w:p>
        </w:tc>
      </w:tr>
      <w:tr>
        <w:tc>
          <w:tcPr>
            <w:tcW w:type="dxa" w:w="28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ReadConfig</w:t>
            </w:r>
          </w:p>
        </w:tc>
        <w:tc>
          <w:tcPr>
            <w:tcW w:type="dxa" w:w="32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Read configuration</w:t>
            </w:r>
          </w:p>
        </w:tc>
        <w:tc>
          <w:tcPr>
            <w:tcW w:type="dxa" w:w="33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Check for existing workflow by title</w:t>
            </w:r>
          </w:p>
        </w:tc>
      </w:tr>
    </w:tbl>
    <w:p>
      <w:pPr>
        <w:spacing w:after="60" w:before="60"/>
      </w:pPr>
    </w:p>
    <w:p>
      <w:pPr>
        <w:pBdr>
          <w:left w:val="single" w:color="D32F2F" w:sz="14" w:space="6"/>
        </w:pBdr>
        <w:shd w:fill="FDECEA" w:val="clear"/>
        <w:spacing w:after="0" w:before="120"/>
      </w:pPr>
      <w:r>
        <w:rPr>
          <w:rFonts w:ascii="Arial" w:cs="Arial" w:eastAsia="Arial" w:hAnsi="Arial"/>
          <w:b/>
          <w:bCs/>
          <w:color w:val="D32F2F"/>
          <w:sz w:val="20"/>
          <w:szCs w:val="20"/>
        </w:rPr>
        <w:t xml:space="preserve">WARNING  </w:t>
      </w:r>
      <w:r>
        <w:rPr>
          <w:rFonts w:ascii="Arial" w:cs="Arial" w:eastAsia="Arial" w:hAnsi="Arial"/>
          <w:color w:val="1A1A2E"/>
          <w:sz w:val="20"/>
          <w:szCs w:val="20"/>
        </w:rPr>
        <w:t xml:space="preserve">Do not embed the API token in source code or commit it to version control. Supply it via an environment variable or a Kubernetes Secret as described in Section 4.</w:t>
      </w:r>
    </w:p>
    <w:p>
      <w:pPr>
        <w:shd w:fill="FDECEA" w:val="clear"/>
        <w:spacing w:after="120" w:before="0"/>
      </w:pPr>
    </w:p>
    <w:p>
      <w:pPr>
        <w:pStyle w:val="Heading2"/>
        <w:spacing w:after="120" w:before="240"/>
      </w:pPr>
      <w:r>
        <w:rPr>
          <w:rFonts w:ascii="Arial" w:cs="Arial" w:eastAsia="Arial" w:hAnsi="Arial"/>
          <w:b/>
          <w:bCs/>
          <w:color w:val="1A1A2E"/>
          <w:sz w:val="28"/>
          <w:szCs w:val="28"/>
        </w:rPr>
        <w:t xml:space="preserve">2.2  Required Environment Variables</w:t>
      </w:r>
    </w:p>
    <w:p>
      <w:pPr>
        <w:spacing w:after="120" w:before="120"/>
        <w:jc w:val="left"/>
      </w:pPr>
      <w:r>
        <w:rPr>
          <w:rFonts w:ascii="Arial" w:cs="Arial" w:eastAsia="Arial" w:hAnsi="Arial"/>
          <w:b w:val="false"/>
          <w:bCs w:val="false"/>
          <w:color w:val="1A1A2E"/>
          <w:sz w:val="22"/>
          <w:szCs w:val="22"/>
        </w:rPr>
        <w:t xml:space="preserve">Two environment variables must be set before running the workflow submitter. They may be passed as CLI flags (-tenant-url, -api-token) or read from the environment.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686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DT_TENANT_URL</w:t>
            </w:r>
          </w:p>
        </w:tc>
        <w:tc>
          <w:tcPr>
            <w:tcW w:type="dxa" w:w="68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Full Dynatrace tenant base URL. Example: https://abc12345.live.dynatrace.com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DT_API_TOKEN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Dynatrace API token with ExternalSyntheticIntegration and WriteConfig scopes.</w:t>
            </w:r>
          </w:p>
        </w:tc>
      </w:tr>
    </w:tbl>
    <w:p>
      <w:pPr>
        <w:spacing w:after="60" w:before="60"/>
      </w:pPr>
    </w:p>
    <w:p>
      <w:pPr>
        <w:pStyle w:val="Heading2"/>
        <w:spacing w:after="120" w:before="240"/>
      </w:pPr>
      <w:r>
        <w:rPr>
          <w:rFonts w:ascii="Arial" w:cs="Arial" w:eastAsia="Arial" w:hAnsi="Arial"/>
          <w:b/>
          <w:bCs/>
          <w:color w:val="1A1A2E"/>
          <w:sz w:val="28"/>
          <w:szCs w:val="28"/>
        </w:rPr>
        <w:t xml:space="preserve">2.3  Dynatrace Location Entity IDs</w:t>
      </w:r>
    </w:p>
    <w:p>
      <w:pPr>
        <w:spacing w:after="120" w:before="120"/>
        <w:jc w:val="left"/>
      </w:pPr>
      <w:r>
        <w:rPr>
          <w:rFonts w:ascii="Arial" w:cs="Arial" w:eastAsia="Arial" w:hAnsi="Arial"/>
          <w:b w:val="false"/>
          <w:bCs w:val="false"/>
          <w:color w:val="1A1A2E"/>
          <w:sz w:val="22"/>
          <w:szCs w:val="22"/>
        </w:rPr>
        <w:t xml:space="preserve">Each synthetic monitor must be assigned to at least one Dynatrace location. Locations are identified by entity IDs of the form GEOLOCATION-XXXXXXXXXXXXXXXX or SYNTHETIC_LOCATION-XXXXXXXXXXXXXXXX. To find your available IDs, navigate to Synthetic &gt; Locations in the Dynatrace UI, or query the API:</w:t>
      </w:r>
    </w:p>
    <w:p>
      <w:pPr>
        <w:spacing w:after="60" w:before="60"/>
      </w:pP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GET https://{tenant-url}/api/v1/synthetic/locations</w:t>
      </w:r>
    </w:p>
    <w:p>
      <w:pPr>
        <w:spacing w:after="60" w:before="60"/>
      </w:pPr>
    </w:p>
    <w:p>
      <w:pPr>
        <w:pStyle w:val="Heading2"/>
        <w:spacing w:after="120" w:before="240"/>
      </w:pPr>
      <w:r>
        <w:rPr>
          <w:rFonts w:ascii="Arial" w:cs="Arial" w:eastAsia="Arial" w:hAnsi="Arial"/>
          <w:b/>
          <w:bCs/>
          <w:color w:val="1A1A2E"/>
          <w:sz w:val="28"/>
          <w:szCs w:val="28"/>
        </w:rPr>
        <w:t xml:space="preserve">2.4  Application Entity ID</w:t>
      </w:r>
    </w:p>
    <w:p>
      <w:pPr>
        <w:spacing w:after="120" w:before="120"/>
        <w:jc w:val="left"/>
      </w:pPr>
      <w:r>
        <w:rPr>
          <w:rFonts w:ascii="Arial" w:cs="Arial" w:eastAsia="Arial" w:hAnsi="Arial"/>
          <w:b w:val="false"/>
          <w:bCs w:val="false"/>
          <w:color w:val="1A1A2E"/>
          <w:sz w:val="22"/>
          <w:szCs w:val="22"/>
        </w:rPr>
        <w:t xml:space="preserve">The monitor is linked to a Dynatrace application entity. Application IDs take the form APPLICATION-XXXXXXXXXXXXXXXX and can be found under Applications &amp; Microservices &gt; Applications in the Dynatrace UI.</w:t>
      </w:r>
    </w:p>
    <w:p>
      <w:pPr>
        <w:spacing w:after="60" w:before="60"/>
      </w:pPr>
    </w:p>
    <w:p>
      <w:pPr>
        <w:pStyle w:val="Heading2"/>
        <w:spacing w:after="120" w:before="240"/>
      </w:pPr>
      <w:r>
        <w:rPr>
          <w:rFonts w:ascii="Arial" w:cs="Arial" w:eastAsia="Arial" w:hAnsi="Arial"/>
          <w:b/>
          <w:bCs/>
          <w:color w:val="1A1A2E"/>
          <w:sz w:val="28"/>
          <w:szCs w:val="28"/>
        </w:rPr>
        <w:t xml:space="preserve">2.5  Go 1.21 (CLI usage only)</w:t>
      </w:r>
    </w:p>
    <w:p>
      <w:pPr>
        <w:spacing w:after="120" w:before="120"/>
        <w:jc w:val="left"/>
      </w:pPr>
      <w:r>
        <w:rPr>
          <w:rFonts w:ascii="Arial" w:cs="Arial" w:eastAsia="Arial" w:hAnsi="Arial"/>
          <w:b w:val="false"/>
          <w:bCs w:val="false"/>
          <w:color w:val="1A1A2E"/>
          <w:sz w:val="22"/>
          <w:szCs w:val="22"/>
        </w:rPr>
        <w:t xml:space="preserve">The Go submitter requires Go 1.21 or later and uses only the standard library. Install from https://go.dev/dl or via your package manager. This prerequisite is not needed when deploying via the AKS Kubernetes Job (the init container handles the build).</w:t>
      </w:r>
    </w:p>
    <w:p>
      <w:r>
        <w:br w:type="page"/>
      </w:r>
    </w:p>
    <w:p>
      <w:pPr>
        <w:pStyle w:val="Heading1"/>
        <w:pBdr>
          <w:bottom w:val="single" w:color="6E2FA0" w:sz="6" w:space="4"/>
        </w:pBdr>
        <w:spacing w:after="160" w:before="320"/>
      </w:pPr>
      <w:r>
        <w:rPr>
          <w:rFonts w:ascii="Arial" w:cs="Arial" w:eastAsia="Arial" w:hAnsi="Arial"/>
          <w:b/>
          <w:bCs/>
          <w:color w:val="6E2FA0"/>
          <w:sz w:val="36"/>
          <w:szCs w:val="36"/>
        </w:rPr>
        <w:t xml:space="preserve">3. Workflow Architecture</w:t>
      </w:r>
    </w:p>
    <w:p>
      <w:pPr>
        <w:pStyle w:val="Heading2"/>
        <w:spacing w:after="120" w:before="240"/>
      </w:pPr>
      <w:r>
        <w:rPr>
          <w:rFonts w:ascii="Arial" w:cs="Arial" w:eastAsia="Arial" w:hAnsi="Arial"/>
          <w:b/>
          <w:bCs/>
          <w:color w:val="1A1A2E"/>
          <w:sz w:val="28"/>
          <w:szCs w:val="28"/>
        </w:rPr>
        <w:t xml:space="preserve">3.1  Task Execution Graph</w:t>
      </w:r>
    </w:p>
    <w:p>
      <w:pPr>
        <w:spacing w:after="120" w:before="120"/>
        <w:jc w:val="left"/>
      </w:pPr>
      <w:r>
        <w:rPr>
          <w:rFonts w:ascii="Arial" w:cs="Arial" w:eastAsia="Arial" w:hAnsi="Arial"/>
          <w:b w:val="false"/>
          <w:bCs w:val="false"/>
          <w:color w:val="1A1A2E"/>
          <w:sz w:val="22"/>
          <w:szCs w:val="22"/>
        </w:rPr>
        <w:t xml:space="preserve">The workflow is a linear pipeline with a parallel error handler. Tasks run sequentially from top to bottom; any task failure routes execution to handle_error via an OR-linked condition.</w:t>
      </w:r>
    </w:p>
    <w:p>
      <w:pPr>
        <w:spacing w:after="60" w:before="60"/>
      </w:pPr>
    </w:p>
    <w:p>
      <w:pPr>
        <w:spacing w:after="120" w:before="120"/>
        <w:jc w:val="left"/>
      </w:pPr>
      <w:r>
        <w:rPr>
          <w:rFonts w:ascii="Arial" w:cs="Arial" w:eastAsia="Arial" w:hAnsi="Arial"/>
          <w:b/>
          <w:bCs/>
          <w:color w:val="555555"/>
          <w:sz w:val="20"/>
          <w:szCs w:val="20"/>
        </w:rPr>
        <w:t xml:space="preserve">validate_inputs  →  build_monitor_payload  →  create_synthetic_monitor  →  verify_and_log_result</w:t>
      </w:r>
    </w:p>
    <w:p>
      <w:pPr>
        <w:spacing w:after="120" w:before="120"/>
        <w:jc w:val="left"/>
      </w:pPr>
      <w:r>
        <w:rPr>
          <w:rFonts w:ascii="Arial" w:cs="Arial" w:eastAsia="Arial" w:hAnsi="Arial"/>
          <w:b/>
          <w:bCs/>
          <w:color w:val="555555"/>
          <w:sz w:val="20"/>
          <w:szCs w:val="20"/>
        </w:rPr>
        <w:t xml:space="preserve">Any ERROR  →  handle_error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Step</w:t>
            </w:r>
          </w:p>
        </w:tc>
        <w:tc>
          <w:tcPr>
            <w:tcW w:type="dxa" w:w="24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Task Name</w:t>
            </w:r>
          </w:p>
        </w:tc>
        <w:tc>
          <w:tcPr>
            <w:tcW w:type="dxa" w:w="576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Responsibility</w:t>
            </w:r>
          </w:p>
        </w:tc>
      </w:tr>
      <w:tr>
        <w:tc>
          <w:tcPr>
            <w:tcW w:type="dxa" w:w="12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1</w:t>
            </w:r>
          </w:p>
        </w:tc>
        <w:tc>
          <w:tcPr>
            <w:tcW w:type="dxa" w:w="24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bCs/>
                <w:color w:val="1A1A2E"/>
                <w:sz w:val="20"/>
                <w:szCs w:val="20"/>
              </w:rPr>
              <w:t xml:space="preserve">validate_inputs</w:t>
            </w:r>
          </w:p>
        </w:tc>
        <w:tc>
          <w:tcPr>
            <w:tcW w:type="dxa" w:w="57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Reads monitorName from exec.variables and remaining fields from exec.params. Throws a descriptive error for any missing or invalid value before any API call is made.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build_monitor_payload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Assembles the full JSON body for POST /api/v1/synthetic/monitors, sourcing monitorName from the workflow variable and all other fields from execution parameters.</w:t>
            </w:r>
          </w:p>
        </w:tc>
      </w:tr>
      <w:tr>
        <w:tc>
          <w:tcPr>
            <w:tcW w:type="dxa" w:w="12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3</w:t>
            </w:r>
          </w:p>
        </w:tc>
        <w:tc>
          <w:tcPr>
            <w:tcW w:type="dxa" w:w="24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bCs/>
                <w:color w:val="1A1A2E"/>
                <w:sz w:val="20"/>
                <w:szCs w:val="20"/>
              </w:rPr>
              <w:t xml:space="preserve">create_synthetic_monitor</w:t>
            </w:r>
          </w:p>
        </w:tc>
        <w:tc>
          <w:tcPr>
            <w:tcW w:type="dxa" w:w="57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Executes the HTTP POST to /api/v1/synthetic/monitors using the dynatrace.automations:http-function action. Credentials are injected from DT_TENANT_URL and DT_API_TOKEN environment bindings.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1A2E"/>
                <w:sz w:val="20"/>
                <w:szCs w:val="20"/>
              </w:rPr>
              <w:t xml:space="preserve">verify_and_log_result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Inspects the HTTP response status code. On HTTP 200/201 it extracts and returns the entityId and a direct URL to the new monitor. On any other status it throws with the API error message.</w:t>
            </w:r>
          </w:p>
        </w:tc>
      </w:tr>
      <w:tr>
        <w:tc>
          <w:tcPr>
            <w:tcW w:type="dxa" w:w="12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5</w:t>
            </w:r>
          </w:p>
        </w:tc>
        <w:tc>
          <w:tcPr>
            <w:tcW w:type="dxa" w:w="24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bCs/>
                <w:color w:val="1A1A2E"/>
                <w:sz w:val="20"/>
                <w:szCs w:val="20"/>
              </w:rPr>
              <w:t xml:space="preserve">handle_error</w:t>
            </w:r>
          </w:p>
        </w:tc>
        <w:tc>
          <w:tcPr>
            <w:tcW w:type="dxa" w:w="57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Runs if ANY upstream task reaches an ERROR state (OR condition). Iterates over all tasks, logs the failed state and result payload to the execution console for operator review.</w:t>
            </w:r>
          </w:p>
        </w:tc>
      </w:tr>
    </w:tbl>
    <w:p>
      <w:pPr>
        <w:spacing w:after="60" w:before="60"/>
      </w:pPr>
    </w:p>
    <w:p>
      <w:pPr>
        <w:pStyle w:val="Heading2"/>
        <w:spacing w:after="120" w:before="240"/>
      </w:pPr>
      <w:r>
        <w:rPr>
          <w:rFonts w:ascii="Arial" w:cs="Arial" w:eastAsia="Arial" w:hAnsi="Arial"/>
          <w:b/>
          <w:bCs/>
          <w:color w:val="1A1A2E"/>
          <w:sz w:val="28"/>
          <w:szCs w:val="28"/>
        </w:rPr>
        <w:t xml:space="preserve">3.2  Workflow Variable: monitorName</w:t>
      </w:r>
    </w:p>
    <w:p>
      <w:pPr>
        <w:spacing w:after="120" w:before="120"/>
        <w:jc w:val="left"/>
      </w:pPr>
      <w:r>
        <w:rPr>
          <w:rFonts w:ascii="Arial" w:cs="Arial" w:eastAsia="Arial" w:hAnsi="Arial"/>
          <w:b w:val="false"/>
          <w:bCs w:val="false"/>
          <w:color w:val="1A1A2E"/>
          <w:sz w:val="22"/>
          <w:szCs w:val="22"/>
        </w:rPr>
        <w:t xml:space="preserve">The monitor display name is stored as a workflow-level variable rather than an execution parameter. This means it can be changed in the Dynatrace Variables panel without modifying execution payloads or redeploying the submitter.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686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Variable Name</w:t>
            </w:r>
          </w:p>
        </w:tc>
        <w:tc>
          <w:tcPr>
            <w:tcW w:type="dxa" w:w="68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monitorName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Default Value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Browser Monitor Example</w:t>
            </w:r>
          </w:p>
        </w:tc>
      </w:tr>
      <w:tr>
        <w:tc>
          <w:tcPr>
            <w:tcW w:type="dxa" w:w="25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Where to Edit</w:t>
            </w:r>
          </w:p>
        </w:tc>
        <w:tc>
          <w:tcPr>
            <w:tcW w:type="dxa" w:w="68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Dynatrace UI &gt; Automations &gt; [workflow] &gt; Variables panel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Validation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validate_inputs verifies the variable is non-empty before proceeding.</w:t>
            </w:r>
          </w:p>
        </w:tc>
      </w:tr>
    </w:tbl>
    <w:p>
      <w:pPr>
        <w:spacing w:after="60" w:before="60"/>
      </w:pPr>
    </w:p>
    <w:p>
      <w:pPr>
        <w:pStyle w:val="Heading2"/>
        <w:spacing w:after="120" w:before="240"/>
      </w:pPr>
      <w:r>
        <w:rPr>
          <w:rFonts w:ascii="Arial" w:cs="Arial" w:eastAsia="Arial" w:hAnsi="Arial"/>
          <w:b/>
          <w:bCs/>
          <w:color w:val="1A1A2E"/>
          <w:sz w:val="28"/>
          <w:szCs w:val="28"/>
        </w:rPr>
        <w:t xml:space="preserve">3.3  Execution Parameters</w:t>
      </w:r>
    </w:p>
    <w:p>
      <w:pPr>
        <w:spacing w:after="120" w:before="120"/>
        <w:jc w:val="left"/>
      </w:pPr>
      <w:r>
        <w:rPr>
          <w:rFonts w:ascii="Arial" w:cs="Arial" w:eastAsia="Arial" w:hAnsi="Arial"/>
          <w:b w:val="false"/>
          <w:bCs w:val="false"/>
          <w:color w:val="1A1A2E"/>
          <w:sz w:val="22"/>
          <w:szCs w:val="22"/>
        </w:rPr>
        <w:t xml:space="preserve">The following parameters are supplied at execution time — either via the Go CLI flags or the Kubernetes Job environment variables. All other monitor settings default to the values shown.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17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CLI Flag</w:t>
            </w:r>
          </w:p>
        </w:tc>
        <w:tc>
          <w:tcPr>
            <w:tcW w:type="dxa" w:w="506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Default / Notes</w:t>
            </w:r>
          </w:p>
        </w:tc>
      </w:tr>
      <w:tr>
        <w:tc>
          <w:tcPr>
            <w:tcW w:type="dxa" w:w="26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targetUrl</w:t>
            </w:r>
          </w:p>
        </w:tc>
        <w:tc>
          <w:tcPr>
            <w:tcW w:type="dxa" w:w="17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-url</w:t>
            </w:r>
          </w:p>
        </w:tc>
        <w:tc>
          <w:tcPr>
            <w:tcW w:type="dxa" w:w="50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Required. Full URL to navigate to, e.g. https://app.example.com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frequencyMin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-freq</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Required. Integer &gt;= 5. Monitor polling interval in minutes.</w:t>
            </w:r>
          </w:p>
        </w:tc>
      </w:tr>
      <w:tr>
        <w:tc>
          <w:tcPr>
            <w:tcW w:type="dxa" w:w="26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locationIds</w:t>
            </w:r>
          </w:p>
        </w:tc>
        <w:tc>
          <w:tcPr>
            <w:tcW w:type="dxa" w:w="17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-locations</w:t>
            </w:r>
          </w:p>
        </w:tc>
        <w:tc>
          <w:tcPr>
            <w:tcW w:type="dxa" w:w="50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Required. Comma-separated GEOLOCATION-... or SYNTHETIC_LOCATION-... IDs.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applicationId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-app-id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Required. APPLICATION-... entity ID.</w:t>
            </w:r>
          </w:p>
        </w:tc>
      </w:tr>
      <w:tr>
        <w:tc>
          <w:tcPr>
            <w:tcW w:type="dxa" w:w="26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tags</w:t>
            </w:r>
          </w:p>
        </w:tc>
        <w:tc>
          <w:tcPr>
            <w:tcW w:type="dxa" w:w="17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-tags</w:t>
            </w:r>
          </w:p>
        </w:tc>
        <w:tc>
          <w:tcPr>
            <w:tcW w:type="dxa" w:w="50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Optional. Comma-separated strings, e.g. production,aks.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deviceName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-device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Default: Desktop. Browser device profile name.</w:t>
            </w:r>
          </w:p>
        </w:tc>
      </w:tr>
      <w:tr>
        <w:tc>
          <w:tcPr>
            <w:tcW w:type="dxa" w:w="26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waitFor</w:t>
            </w:r>
          </w:p>
        </w:tc>
        <w:tc>
          <w:tcPr>
            <w:tcW w:type="dxa" w:w="17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-wait-for</w:t>
            </w:r>
          </w:p>
        </w:tc>
        <w:tc>
          <w:tcPr>
            <w:tcW w:type="dxa" w:w="50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Default: page_complete. Also accepts network_idle.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loadingTimeThresholdMs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-load-time-ms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Default: 10000 ms. Loading time anomaly detection threshold.</w:t>
            </w:r>
          </w:p>
        </w:tc>
      </w:tr>
      <w:tr>
        <w:tc>
          <w:tcPr>
            <w:tcW w:type="dxa" w:w="26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loadActionKpm</w:t>
            </w:r>
          </w:p>
        </w:tc>
        <w:tc>
          <w:tcPr>
            <w:tcW w:type="dxa" w:w="17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(not exposed)</w:t>
            </w:r>
          </w:p>
        </w:tc>
        <w:tc>
          <w:tcPr>
            <w:tcW w:type="dxa" w:w="50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Default: VISUALLY_COMPLETE. Key performance metric for load actions.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xhrActionKpm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(not exposed)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Default: VISUALLY_COMPLETE. Key performance metric for XHR actions.</w:t>
            </w:r>
          </w:p>
        </w:tc>
      </w:tr>
      <w:tr>
        <w:tc>
          <w:tcPr>
            <w:tcW w:type="dxa" w:w="26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localOutageAffectedLocs</w:t>
            </w:r>
          </w:p>
        </w:tc>
        <w:tc>
          <w:tcPr>
            <w:tcW w:type="dxa" w:w="17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(not exposed)</w:t>
            </w:r>
          </w:p>
        </w:tc>
        <w:tc>
          <w:tcPr>
            <w:tcW w:type="dxa" w:w="50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Default: 1. Locations affected before local outage is declared.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localOutageConsecutiveRuns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(not exposed)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Default: 3. Consecutive failures before local outage is declared.</w:t>
            </w:r>
          </w:p>
        </w:tc>
      </w:tr>
    </w:tbl>
    <w:p>
      <w:pPr>
        <w:spacing w:after="60" w:before="60"/>
      </w:pPr>
    </w:p>
    <w:p>
      <w:r>
        <w:br w:type="page"/>
      </w:r>
    </w:p>
    <w:p>
      <w:pPr>
        <w:pStyle w:val="Heading1"/>
        <w:pBdr>
          <w:bottom w:val="single" w:color="6E2FA0" w:sz="6" w:space="4"/>
        </w:pBdr>
        <w:spacing w:after="160" w:before="320"/>
      </w:pPr>
      <w:r>
        <w:rPr>
          <w:rFonts w:ascii="Arial" w:cs="Arial" w:eastAsia="Arial" w:hAnsi="Arial"/>
          <w:b/>
          <w:bCs/>
          <w:color w:val="6E2FA0"/>
          <w:sz w:val="36"/>
          <w:szCs w:val="36"/>
        </w:rPr>
        <w:t xml:space="preserve">4. Running the Workflow</w:t>
      </w:r>
    </w:p>
    <w:p>
      <w:pPr>
        <w:pStyle w:val="Heading2"/>
        <w:spacing w:after="120" w:before="240"/>
      </w:pPr>
      <w:r>
        <w:rPr>
          <w:rFonts w:ascii="Arial" w:cs="Arial" w:eastAsia="Arial" w:hAnsi="Arial"/>
          <w:b/>
          <w:bCs/>
          <w:color w:val="1A1A2E"/>
          <w:sz w:val="28"/>
          <w:szCs w:val="28"/>
        </w:rPr>
        <w:t xml:space="preserve">4.1  Step 1 — Import the Workflow into Dynatrace</w:t>
      </w:r>
    </w:p>
    <w:p>
      <w:pPr>
        <w:spacing w:after="120" w:before="120"/>
        <w:jc w:val="left"/>
      </w:pPr>
      <w:r>
        <w:rPr>
          <w:rFonts w:ascii="Arial" w:cs="Arial" w:eastAsia="Arial" w:hAnsi="Arial"/>
          <w:b w:val="false"/>
          <w:bCs w:val="false"/>
          <w:color w:val="1A1A2E"/>
          <w:sz w:val="22"/>
          <w:szCs w:val="22"/>
        </w:rPr>
        <w:t xml:space="preserve">Before the submitter can trigger an execution, the workflow definition must be registered in your Dynatrace tenant. The Go submitter performs this step automatically (see Section 4.2), but it can also be done manually.</w:t>
      </w:r>
    </w:p>
    <w:p>
      <w:pPr>
        <w:spacing w:after="60" w:before="60"/>
      </w:pPr>
    </w:p>
    <w:p>
      <w:pPr>
        <w:pStyle w:val="Heading3"/>
        <w:spacing w:after="80" w:before="180"/>
      </w:pPr>
      <w:r>
        <w:rPr>
          <w:rFonts w:ascii="Arial" w:cs="Arial" w:eastAsia="Arial" w:hAnsi="Arial"/>
          <w:b/>
          <w:bCs/>
          <w:color w:val="1A1A2E"/>
          <w:sz w:val="24"/>
          <w:szCs w:val="24"/>
        </w:rPr>
        <w:t xml:space="preserve">Manual import via the Dynatrace UI:</w:t>
      </w:r>
    </w:p>
    <w:p>
      <w:pPr>
        <w:pStyle w:val="ListParagraph"/>
        <w:numPr>
          <w:ilvl w:val="0"/>
          <w:numId w:val="2"/>
        </w:numPr>
        <w:spacing w:after="80" w:before="80"/>
      </w:pPr>
      <w:r>
        <w:rPr>
          <w:rFonts w:ascii="Arial" w:cs="Arial" w:eastAsia="Arial" w:hAnsi="Arial"/>
          <w:color w:val="1A1A2E"/>
          <w:sz w:val="22"/>
          <w:szCs w:val="22"/>
        </w:rPr>
        <w:t xml:space="preserve">Log in to your Dynatrace tenant.</w:t>
      </w:r>
    </w:p>
    <w:p>
      <w:pPr>
        <w:pStyle w:val="ListParagraph"/>
        <w:numPr>
          <w:ilvl w:val="0"/>
          <w:numId w:val="2"/>
        </w:numPr>
        <w:spacing w:after="80" w:before="80"/>
      </w:pPr>
      <w:r>
        <w:rPr>
          <w:rFonts w:ascii="Arial" w:cs="Arial" w:eastAsia="Arial" w:hAnsi="Arial"/>
          <w:color w:val="1A1A2E"/>
          <w:sz w:val="22"/>
          <w:szCs w:val="22"/>
        </w:rPr>
        <w:t xml:space="preserve">Navigate to Automations in the left-side navigation menu.</w:t>
      </w:r>
    </w:p>
    <w:p>
      <w:pPr>
        <w:pStyle w:val="ListParagraph"/>
        <w:numPr>
          <w:ilvl w:val="0"/>
          <w:numId w:val="2"/>
        </w:numPr>
        <w:spacing w:after="80" w:before="80"/>
      </w:pPr>
      <w:r>
        <w:rPr>
          <w:rFonts w:ascii="Arial" w:cs="Arial" w:eastAsia="Arial" w:hAnsi="Arial"/>
          <w:color w:val="1A1A2E"/>
          <w:sz w:val="22"/>
          <w:szCs w:val="22"/>
        </w:rPr>
        <w:t xml:space="preserve">Click the Upload or Import button in the top-right area of the Automations page.</w:t>
      </w:r>
    </w:p>
    <w:p>
      <w:pPr>
        <w:pStyle w:val="ListParagraph"/>
        <w:numPr>
          <w:ilvl w:val="0"/>
          <w:numId w:val="2"/>
        </w:numPr>
        <w:spacing w:after="80" w:before="80"/>
      </w:pPr>
      <w:r>
        <w:rPr>
          <w:rFonts w:ascii="Arial" w:cs="Arial" w:eastAsia="Arial" w:hAnsi="Arial"/>
          <w:color w:val="1A1A2E"/>
          <w:sz w:val="22"/>
          <w:szCs w:val="22"/>
        </w:rPr>
        <w:t xml:space="preserve">Select the file dynatrace-workflow-create-browser-monitor.json.</w:t>
      </w:r>
    </w:p>
    <w:p>
      <w:pPr>
        <w:pStyle w:val="ListParagraph"/>
        <w:numPr>
          <w:ilvl w:val="0"/>
          <w:numId w:val="2"/>
        </w:numPr>
        <w:spacing w:after="80" w:before="80"/>
      </w:pPr>
      <w:r>
        <w:rPr>
          <w:rFonts w:ascii="Arial" w:cs="Arial" w:eastAsia="Arial" w:hAnsi="Arial"/>
          <w:color w:val="1A1A2E"/>
          <w:sz w:val="22"/>
          <w:szCs w:val="22"/>
        </w:rPr>
        <w:t xml:space="preserve">Confirm the import. The workflow titled "Create Synthetic Browser Monitor" appears in your workflow list.</w:t>
      </w:r>
    </w:p>
    <w:p>
      <w:pPr>
        <w:spacing w:after="60" w:before="60"/>
      </w:pPr>
    </w:p>
    <w:p>
      <w:pPr>
        <w:pBdr>
          <w:left w:val="single" w:color="F4A836" w:sz="14" w:space="6"/>
        </w:pBdr>
        <w:shd w:fill="FFF8E1" w:val="clear"/>
        <w:spacing w:after="0" w:before="120"/>
      </w:pPr>
      <w:r>
        <w:rPr>
          <w:rFonts w:ascii="Arial" w:cs="Arial" w:eastAsia="Arial" w:hAnsi="Arial"/>
          <w:b/>
          <w:bCs/>
          <w:color w:val="F4A836"/>
          <w:sz w:val="20"/>
          <w:szCs w:val="20"/>
        </w:rPr>
        <w:t xml:space="preserve">NOTE:  </w:t>
      </w:r>
      <w:r>
        <w:rPr>
          <w:rFonts w:ascii="Arial" w:cs="Arial" w:eastAsia="Arial" w:hAnsi="Arial"/>
          <w:color w:val="1A1A2E"/>
          <w:sz w:val="20"/>
          <w:szCs w:val="20"/>
        </w:rPr>
        <w:t xml:space="preserve">The Go submitter performs an upsert — if a workflow with the title "Create Synthetic Browser Monitor" already exists it is updated via PUT; otherwise a new one is created via POST. Manual import is therefore optional when using the submitter.</w:t>
      </w:r>
    </w:p>
    <w:p>
      <w:pPr>
        <w:shd w:fill="FFF8E1" w:val="clear"/>
        <w:spacing w:after="120" w:before="0"/>
      </w:pPr>
    </w:p>
    <w:p>
      <w:pPr>
        <w:pStyle w:val="Heading2"/>
        <w:spacing w:after="120" w:before="240"/>
      </w:pPr>
      <w:r>
        <w:rPr>
          <w:rFonts w:ascii="Arial" w:cs="Arial" w:eastAsia="Arial" w:hAnsi="Arial"/>
          <w:b/>
          <w:bCs/>
          <w:color w:val="1A1A2E"/>
          <w:sz w:val="28"/>
          <w:szCs w:val="28"/>
        </w:rPr>
        <w:t xml:space="preserve">4.2  Step 2 — Set the monitorName Variable</w:t>
      </w:r>
    </w:p>
    <w:p>
      <w:pPr>
        <w:spacing w:after="120" w:before="120"/>
        <w:jc w:val="left"/>
      </w:pPr>
      <w:r>
        <w:rPr>
          <w:rFonts w:ascii="Arial" w:cs="Arial" w:eastAsia="Arial" w:hAnsi="Arial"/>
          <w:b w:val="false"/>
          <w:bCs w:val="false"/>
          <w:color w:val="1A1A2E"/>
          <w:sz w:val="22"/>
          <w:szCs w:val="22"/>
        </w:rPr>
        <w:t xml:space="preserve">The monitor display name is controlled by a workflow variable. Before the first run, verify or update this value.</w:t>
      </w:r>
    </w:p>
    <w:p>
      <w:pPr>
        <w:spacing w:after="60" w:before="60"/>
      </w:pPr>
    </w:p>
    <w:p>
      <w:pPr>
        <w:pStyle w:val="ListParagraph"/>
        <w:numPr>
          <w:ilvl w:val="0"/>
          <w:numId w:val="2"/>
        </w:numPr>
        <w:spacing w:after="80" w:before="80"/>
      </w:pPr>
      <w:r>
        <w:rPr>
          <w:rFonts w:ascii="Arial" w:cs="Arial" w:eastAsia="Arial" w:hAnsi="Arial"/>
          <w:color w:val="1A1A2E"/>
          <w:sz w:val="22"/>
          <w:szCs w:val="22"/>
        </w:rPr>
        <w:t xml:space="preserve">In the Dynatrace UI, open Automations and locate "Create Synthetic Browser Monitor".</w:t>
      </w:r>
    </w:p>
    <w:p>
      <w:pPr>
        <w:pStyle w:val="ListParagraph"/>
        <w:numPr>
          <w:ilvl w:val="0"/>
          <w:numId w:val="2"/>
        </w:numPr>
        <w:spacing w:after="80" w:before="80"/>
      </w:pPr>
      <w:r>
        <w:rPr>
          <w:rFonts w:ascii="Arial" w:cs="Arial" w:eastAsia="Arial" w:hAnsi="Arial"/>
          <w:color w:val="1A1A2E"/>
          <w:sz w:val="22"/>
          <w:szCs w:val="22"/>
        </w:rPr>
        <w:t xml:space="preserve">Click the workflow title to open the workflow editor.</w:t>
      </w:r>
    </w:p>
    <w:p>
      <w:pPr>
        <w:pStyle w:val="ListParagraph"/>
        <w:numPr>
          <w:ilvl w:val="0"/>
          <w:numId w:val="2"/>
        </w:numPr>
        <w:spacing w:after="80" w:before="80"/>
      </w:pPr>
      <w:r>
        <w:rPr>
          <w:rFonts w:ascii="Arial" w:cs="Arial" w:eastAsia="Arial" w:hAnsi="Arial"/>
          <w:color w:val="1A1A2E"/>
          <w:sz w:val="22"/>
          <w:szCs w:val="22"/>
        </w:rPr>
        <w:t xml:space="preserve">In the left panel, click Variables.</w:t>
      </w:r>
    </w:p>
    <w:p>
      <w:pPr>
        <w:pStyle w:val="ListParagraph"/>
        <w:numPr>
          <w:ilvl w:val="0"/>
          <w:numId w:val="2"/>
        </w:numPr>
        <w:spacing w:after="80" w:before="80"/>
      </w:pPr>
      <w:r>
        <w:rPr>
          <w:rFonts w:ascii="Arial" w:cs="Arial" w:eastAsia="Arial" w:hAnsi="Arial"/>
          <w:color w:val="1A1A2E"/>
          <w:sz w:val="22"/>
          <w:szCs w:val="22"/>
        </w:rPr>
        <w:t xml:space="preserve">Locate the monitorName variable. The default value is "Browser Monitor Example".</w:t>
      </w:r>
    </w:p>
    <w:p>
      <w:pPr>
        <w:pStyle w:val="ListParagraph"/>
        <w:numPr>
          <w:ilvl w:val="0"/>
          <w:numId w:val="2"/>
        </w:numPr>
        <w:spacing w:after="80" w:before="80"/>
      </w:pPr>
      <w:r>
        <w:rPr>
          <w:rFonts w:ascii="Arial" w:cs="Arial" w:eastAsia="Arial" w:hAnsi="Arial"/>
          <w:color w:val="1A1A2E"/>
          <w:sz w:val="22"/>
          <w:szCs w:val="22"/>
        </w:rPr>
        <w:t xml:space="preserve">Click the pencil icon to edit. Enter the desired monitor name and click Save.</w:t>
      </w:r>
    </w:p>
    <w:p>
      <w:pPr>
        <w:spacing w:after="60" w:before="60"/>
      </w:pPr>
    </w:p>
    <w:p>
      <w:pPr>
        <w:pBdr>
          <w:left w:val="single" w:color="F4A836" w:sz="14" w:space="6"/>
        </w:pBdr>
        <w:shd w:fill="FFF8E1" w:val="clear"/>
        <w:spacing w:after="0" w:before="120"/>
      </w:pPr>
      <w:r>
        <w:rPr>
          <w:rFonts w:ascii="Arial" w:cs="Arial" w:eastAsia="Arial" w:hAnsi="Arial"/>
          <w:b/>
          <w:bCs/>
          <w:color w:val="F4A836"/>
          <w:sz w:val="20"/>
          <w:szCs w:val="20"/>
        </w:rPr>
        <w:t xml:space="preserve">NOTE:  </w:t>
      </w:r>
      <w:r>
        <w:rPr>
          <w:rFonts w:ascii="Arial" w:cs="Arial" w:eastAsia="Arial" w:hAnsi="Arial"/>
          <w:color w:val="1A1A2E"/>
          <w:sz w:val="20"/>
          <w:szCs w:val="20"/>
        </w:rPr>
        <w:t xml:space="preserve">Changes to the variable take effect immediately for all subsequent executions. No redeployment or code change is required.</w:t>
      </w:r>
    </w:p>
    <w:p>
      <w:pPr>
        <w:shd w:fill="FFF8E1" w:val="clear"/>
        <w:spacing w:after="120" w:before="0"/>
      </w:pPr>
    </w:p>
    <w:p>
      <w:pPr>
        <w:pStyle w:val="Heading2"/>
        <w:spacing w:after="120" w:before="240"/>
      </w:pPr>
      <w:r>
        <w:rPr>
          <w:rFonts w:ascii="Arial" w:cs="Arial" w:eastAsia="Arial" w:hAnsi="Arial"/>
          <w:b/>
          <w:bCs/>
          <w:color w:val="1A1A2E"/>
          <w:sz w:val="28"/>
          <w:szCs w:val="28"/>
        </w:rPr>
        <w:t xml:space="preserve">4.3  Step 3A — Run via the Go CLI Submitter</w:t>
      </w:r>
    </w:p>
    <w:p>
      <w:pPr>
        <w:spacing w:after="120" w:before="120"/>
        <w:jc w:val="left"/>
      </w:pPr>
      <w:r>
        <w:rPr>
          <w:rFonts w:ascii="Arial" w:cs="Arial" w:eastAsia="Arial" w:hAnsi="Arial"/>
          <w:b w:val="false"/>
          <w:bCs w:val="false"/>
          <w:color w:val="1A1A2E"/>
          <w:sz w:val="22"/>
          <w:szCs w:val="22"/>
        </w:rPr>
        <w:t xml:space="preserve">The Go CLI tool compiles with no external dependencies and can be run from any workstation with Go 1.21 installed.</w:t>
      </w:r>
    </w:p>
    <w:p>
      <w:pPr>
        <w:spacing w:after="60" w:before="60"/>
      </w:pPr>
    </w:p>
    <w:p>
      <w:pPr>
        <w:pStyle w:val="Heading3"/>
        <w:spacing w:after="80" w:before="180"/>
      </w:pPr>
      <w:r>
        <w:rPr>
          <w:rFonts w:ascii="Arial" w:cs="Arial" w:eastAsia="Arial" w:hAnsi="Arial"/>
          <w:b/>
          <w:bCs/>
          <w:color w:val="1A1A2E"/>
          <w:sz w:val="24"/>
          <w:szCs w:val="24"/>
        </w:rPr>
        <w:t xml:space="preserve">Build the binary:</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go build -o workflow-submitter ./cmd/workflow-submitter</w:t>
      </w:r>
    </w:p>
    <w:p>
      <w:pPr>
        <w:spacing w:after="60" w:before="60"/>
      </w:pPr>
    </w:p>
    <w:p>
      <w:pPr>
        <w:pStyle w:val="Heading3"/>
        <w:spacing w:after="80" w:before="180"/>
      </w:pPr>
      <w:r>
        <w:rPr>
          <w:rFonts w:ascii="Arial" w:cs="Arial" w:eastAsia="Arial" w:hAnsi="Arial"/>
          <w:b/>
          <w:bCs/>
          <w:color w:val="1A1A2E"/>
          <w:sz w:val="24"/>
          <w:szCs w:val="24"/>
        </w:rPr>
        <w:t xml:space="preserve">Execute (all required flags shown):</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export DT_TENANT_URL="https://abc12345.live.dynatrace.com"</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export DT_API_TOKEN="dt0c01.SAMPLE_TOKEN"</w:t>
      </w:r>
    </w:p>
    <w:p>
      <w:pPr>
        <w:spacing w:after="60" w:before="60"/>
      </w:pP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./workflow-submitter \</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  -workflow ./dynatrace-workflow-create-browser-monitor.json \</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  -name     "My App Health Check" \</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  -url      "https://app.example.com" \</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  -freq     5 \</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  -locations "GEOLOCATION-9999453BE4BDB3CD,SYNTHETIC_LOCATION-DF80ACFB688C583B" \</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  -app-id   "APPLICATION-4ADF0EF407C7C545" \</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  -tags     "production,aks"</w:t>
      </w:r>
    </w:p>
    <w:p>
      <w:pPr>
        <w:spacing w:after="60" w:before="60"/>
      </w:pPr>
    </w:p>
    <w:p>
      <w:pPr>
        <w:pStyle w:val="Heading3"/>
        <w:spacing w:after="80" w:before="180"/>
      </w:pPr>
      <w:r>
        <w:rPr>
          <w:rFonts w:ascii="Arial" w:cs="Arial" w:eastAsia="Arial" w:hAnsi="Arial"/>
          <w:b/>
          <w:bCs/>
          <w:color w:val="1A1A2E"/>
          <w:sz w:val="24"/>
          <w:szCs w:val="24"/>
        </w:rPr>
        <w:t xml:space="preserve">Dry-run mode (no API calls):</w:t>
      </w:r>
    </w:p>
    <w:p>
      <w:pPr>
        <w:spacing w:after="120" w:before="120"/>
        <w:jc w:val="left"/>
      </w:pPr>
      <w:r>
        <w:rPr>
          <w:rFonts w:ascii="Arial" w:cs="Arial" w:eastAsia="Arial" w:hAnsi="Arial"/>
          <w:b w:val="false"/>
          <w:bCs w:val="false"/>
          <w:color w:val="1A1A2E"/>
          <w:sz w:val="22"/>
          <w:szCs w:val="22"/>
        </w:rPr>
        <w:t xml:space="preserve">Add the -dry-run flag to print the workflow definition and resolved execution parameters to stdout without contacting Dynatrace. This is useful for pre-flight validation.</w:t>
      </w:r>
    </w:p>
    <w:p>
      <w:pPr>
        <w:spacing w:after="60" w:before="60"/>
      </w:pP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./workflow-submitter -dry-run -workflow ./dynatrace-workflow-create-browser-monitor.json \</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  -name "Test" -url "https://test.example.com" -freq 5 \</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  -locations "GEOLOCATION-..." -app-id "APPLICATION-..."</w:t>
      </w:r>
    </w:p>
    <w:p>
      <w:pPr>
        <w:spacing w:after="60" w:before="60"/>
      </w:pPr>
    </w:p>
    <w:p>
      <w:pPr>
        <w:pStyle w:val="Heading3"/>
        <w:spacing w:after="80" w:before="180"/>
      </w:pPr>
      <w:r>
        <w:rPr>
          <w:rFonts w:ascii="Arial" w:cs="Arial" w:eastAsia="Arial" w:hAnsi="Arial"/>
          <w:b/>
          <w:bCs/>
          <w:color w:val="1A1A2E"/>
          <w:sz w:val="24"/>
          <w:szCs w:val="24"/>
        </w:rPr>
        <w:t xml:space="preserve">All available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760"/>
      </w:tblGrid>
      <w:tr>
        <w:trPr>
          <w:tblHeader/>
        </w:trPr>
        <w:tc>
          <w:tcPr>
            <w:tcW w:type="dxa" w:w="17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Flag</w:t>
            </w:r>
          </w:p>
        </w:tc>
        <w:tc>
          <w:tcPr>
            <w:tcW w:type="dxa" w:w="19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Environment Variable</w:t>
            </w:r>
          </w:p>
        </w:tc>
        <w:tc>
          <w:tcPr>
            <w:tcW w:type="dxa" w:w="576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r>
      <w:tr>
        <w:tc>
          <w:tcPr>
            <w:tcW w:type="dxa" w:w="17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-tenant-url</w:t>
            </w:r>
          </w:p>
        </w:tc>
        <w:tc>
          <w:tcPr>
            <w:tcW w:type="dxa" w:w="19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DT_TENANT_URL</w:t>
            </w:r>
          </w:p>
        </w:tc>
        <w:tc>
          <w:tcPr>
            <w:tcW w:type="dxa" w:w="57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Dynatrace tenant base URL. Required unless -dry-run is set.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-api-token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DT_API_TOKEN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Dynatrace API token. Required unless -dry-run is set.</w:t>
            </w:r>
          </w:p>
        </w:tc>
      </w:tr>
      <w:tr>
        <w:tc>
          <w:tcPr>
            <w:tcW w:type="dxa" w:w="17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-workflow</w:t>
            </w:r>
          </w:p>
        </w:tc>
        <w:tc>
          <w:tcPr>
            <w:tcW w:type="dxa" w:w="19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t>
            </w:r>
          </w:p>
        </w:tc>
        <w:tc>
          <w:tcPr>
            <w:tcW w:type="dxa" w:w="57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Path to workflow JSON file. Default: dynatrace-workflow-create-browser-monitor.json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-name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Monitor name override. Required.</w:t>
            </w:r>
          </w:p>
        </w:tc>
      </w:tr>
      <w:tr>
        <w:tc>
          <w:tcPr>
            <w:tcW w:type="dxa" w:w="17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-url</w:t>
            </w:r>
          </w:p>
        </w:tc>
        <w:tc>
          <w:tcPr>
            <w:tcW w:type="dxa" w:w="19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t>
            </w:r>
          </w:p>
        </w:tc>
        <w:tc>
          <w:tcPr>
            <w:tcW w:type="dxa" w:w="57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Target URL to monitor. Required.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-freq</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Polling frequency in minutes (&gt;= 5). Default: 5</w:t>
            </w:r>
          </w:p>
        </w:tc>
      </w:tr>
      <w:tr>
        <w:tc>
          <w:tcPr>
            <w:tcW w:type="dxa" w:w="17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-locations</w:t>
            </w:r>
          </w:p>
        </w:tc>
        <w:tc>
          <w:tcPr>
            <w:tcW w:type="dxa" w:w="19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t>
            </w:r>
          </w:p>
        </w:tc>
        <w:tc>
          <w:tcPr>
            <w:tcW w:type="dxa" w:w="57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Comma-separated location entity IDs. Required.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-app-id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Dynatrace APPLICATION entity ID. Required.</w:t>
            </w:r>
          </w:p>
        </w:tc>
      </w:tr>
      <w:tr>
        <w:tc>
          <w:tcPr>
            <w:tcW w:type="dxa" w:w="17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-tags</w:t>
            </w:r>
          </w:p>
        </w:tc>
        <w:tc>
          <w:tcPr>
            <w:tcW w:type="dxa" w:w="19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t>
            </w:r>
          </w:p>
        </w:tc>
        <w:tc>
          <w:tcPr>
            <w:tcW w:type="dxa" w:w="57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Comma-separated tags. Optional.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-device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Browser device profile. Default: Desktop</w:t>
            </w:r>
          </w:p>
        </w:tc>
      </w:tr>
      <w:tr>
        <w:tc>
          <w:tcPr>
            <w:tcW w:type="dxa" w:w="17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-wait-for</w:t>
            </w:r>
          </w:p>
        </w:tc>
        <w:tc>
          <w:tcPr>
            <w:tcW w:type="dxa" w:w="19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t>
            </w:r>
          </w:p>
        </w:tc>
        <w:tc>
          <w:tcPr>
            <w:tcW w:type="dxa" w:w="57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Wait condition: page_complete or network_idle. Default: page_complete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-load-time-ms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Loading time anomaly threshold (ms). Default: 10000</w:t>
            </w:r>
          </w:p>
        </w:tc>
      </w:tr>
      <w:tr>
        <w:tc>
          <w:tcPr>
            <w:tcW w:type="dxa" w:w="17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-poll-sec</w:t>
            </w:r>
          </w:p>
        </w:tc>
        <w:tc>
          <w:tcPr>
            <w:tcW w:type="dxa" w:w="19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t>
            </w:r>
          </w:p>
        </w:tc>
        <w:tc>
          <w:tcPr>
            <w:tcW w:type="dxa" w:w="57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Execution poll interval in seconds. Default: 10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-timeout-sec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Maximum wait for execution completion. Default: 300</w:t>
            </w:r>
          </w:p>
        </w:tc>
      </w:tr>
      <w:tr>
        <w:tc>
          <w:tcPr>
            <w:tcW w:type="dxa" w:w="17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-dry-run</w:t>
            </w:r>
          </w:p>
        </w:tc>
        <w:tc>
          <w:tcPr>
            <w:tcW w:type="dxa" w:w="19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t>
            </w:r>
          </w:p>
        </w:tc>
        <w:tc>
          <w:tcPr>
            <w:tcW w:type="dxa" w:w="57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Print resolved config without calling the API. Default: false</w:t>
            </w:r>
          </w:p>
        </w:tc>
      </w:tr>
    </w:tbl>
    <w:p>
      <w:pPr>
        <w:spacing w:after="60" w:before="60"/>
      </w:pPr>
    </w:p>
    <w:p>
      <w:r>
        <w:br w:type="page"/>
      </w:r>
    </w:p>
    <w:p>
      <w:pPr>
        <w:pStyle w:val="Heading2"/>
        <w:spacing w:after="120" w:before="240"/>
      </w:pPr>
      <w:r>
        <w:rPr>
          <w:rFonts w:ascii="Arial" w:cs="Arial" w:eastAsia="Arial" w:hAnsi="Arial"/>
          <w:b/>
          <w:bCs/>
          <w:color w:val="1A1A2E"/>
          <w:sz w:val="28"/>
          <w:szCs w:val="28"/>
        </w:rPr>
        <w:t xml:space="preserve">4.4  Step 3B — Run via Kubernetes Job on AKS</w:t>
      </w:r>
    </w:p>
    <w:p>
      <w:pPr>
        <w:spacing w:after="120" w:before="120"/>
        <w:jc w:val="left"/>
      </w:pPr>
      <w:r>
        <w:rPr>
          <w:rFonts w:ascii="Arial" w:cs="Arial" w:eastAsia="Arial" w:hAnsi="Arial"/>
          <w:b w:val="false"/>
          <w:bCs w:val="false"/>
          <w:color w:val="1A1A2E"/>
          <w:sz w:val="22"/>
          <w:szCs w:val="22"/>
        </w:rPr>
        <w:t xml:space="preserve">The Kubernetes manifests in dynatrace-workflow-submitter.yaml deploy the submitter as a one-shot Job on AKS. An init container compiles the Go binary from source; the main container executes it.</w:t>
      </w:r>
    </w:p>
    <w:p>
      <w:pPr>
        <w:spacing w:after="60" w:before="60"/>
      </w:pPr>
    </w:p>
    <w:p>
      <w:pPr>
        <w:pStyle w:val="Heading3"/>
        <w:spacing w:after="80" w:before="180"/>
      </w:pPr>
      <w:r>
        <w:rPr>
          <w:rFonts w:ascii="Arial" w:cs="Arial" w:eastAsia="Arial" w:hAnsi="Arial"/>
          <w:b/>
          <w:bCs/>
          <w:color w:val="1A1A2E"/>
          <w:sz w:val="24"/>
          <w:szCs w:val="24"/>
        </w:rPr>
        <w:t xml:space="preserve">1. Encode credentials as base64:</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DT_URL_B64=$(echo -n "https://abc12345.live.dynatrace.com" | base64)</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DT_TOK_B64=$(echo -n "dt0c01.YOUR_TOKEN"                   | base64)</w:t>
      </w:r>
    </w:p>
    <w:p>
      <w:pPr>
        <w:spacing w:after="60" w:before="60"/>
      </w:pPr>
    </w:p>
    <w:p>
      <w:pPr>
        <w:pStyle w:val="Heading3"/>
        <w:spacing w:after="80" w:before="180"/>
      </w:pPr>
      <w:r>
        <w:rPr>
          <w:rFonts w:ascii="Arial" w:cs="Arial" w:eastAsia="Arial" w:hAnsi="Arial"/>
          <w:b/>
          <w:bCs/>
          <w:color w:val="1A1A2E"/>
          <w:sz w:val="24"/>
          <w:szCs w:val="24"/>
        </w:rPr>
        <w:t xml:space="preserve">2. Patch the Secret fields in the manifest:</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sed -i "s|REPLACE_WITH_BASE64_ENCODED_TENANT_URL|${DT_URL_B64}|" dynatrace-workflow-submitter.yaml</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sed -i "s|REPLACE_WITH_BASE64_ENCODED_API_TOKEN|${DT_TOK_B64}|"  dynatrace-workflow-submitter.yaml</w:t>
      </w:r>
    </w:p>
    <w:p>
      <w:pPr>
        <w:spacing w:after="60" w:before="60"/>
      </w:pPr>
    </w:p>
    <w:p>
      <w:pPr>
        <w:pStyle w:val="Heading3"/>
        <w:spacing w:after="80" w:before="180"/>
      </w:pPr>
      <w:r>
        <w:rPr>
          <w:rFonts w:ascii="Arial" w:cs="Arial" w:eastAsia="Arial" w:hAnsi="Arial"/>
          <w:b/>
          <w:bCs/>
          <w:color w:val="1A1A2E"/>
          <w:sz w:val="24"/>
          <w:szCs w:val="24"/>
        </w:rPr>
        <w:t xml:space="preserve">3. Update monitor parameters in the Job env block:</w:t>
      </w:r>
    </w:p>
    <w:p>
      <w:pPr>
        <w:spacing w:after="120" w:before="120"/>
        <w:jc w:val="left"/>
      </w:pPr>
      <w:r>
        <w:rPr>
          <w:rFonts w:ascii="Arial" w:cs="Arial" w:eastAsia="Arial" w:hAnsi="Arial"/>
          <w:b w:val="false"/>
          <w:bCs w:val="false"/>
          <w:color w:val="1A1A2E"/>
          <w:sz w:val="22"/>
          <w:szCs w:val="22"/>
        </w:rPr>
        <w:t xml:space="preserve">Edit the env section of the main container in the Job spec. The relevant variables are: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686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MONITOR_NAME</w:t>
            </w:r>
          </w:p>
        </w:tc>
        <w:tc>
          <w:tcPr>
            <w:tcW w:type="dxa" w:w="68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Display name of the monitor (also update the workflow variable in the 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MONITOR_URL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Target URL to navigate to.</w:t>
            </w:r>
          </w:p>
        </w:tc>
      </w:tr>
      <w:tr>
        <w:tc>
          <w:tcPr>
            <w:tcW w:type="dxa" w:w="25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MONITOR_FREQ</w:t>
            </w:r>
          </w:p>
        </w:tc>
        <w:tc>
          <w:tcPr>
            <w:tcW w:type="dxa" w:w="68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Polling frequency in minutes. Minimum: 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MONITOR_LOCATIONS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Comma-separated GEOLOCATION-... or SYNTHETIC_LOCATION-... entity IDs.</w:t>
            </w:r>
          </w:p>
        </w:tc>
      </w:tr>
      <w:tr>
        <w:tc>
          <w:tcPr>
            <w:tcW w:type="dxa" w:w="25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MONITOR_APP_ID</w:t>
            </w:r>
          </w:p>
        </w:tc>
        <w:tc>
          <w:tcPr>
            <w:tcW w:type="dxa" w:w="68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APPLICATION-... entity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MONITOR_TAGS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Comma-separated tag strings. May be left empty.</w:t>
            </w:r>
          </w:p>
        </w:tc>
      </w:tr>
      <w:tr>
        <w:tc>
          <w:tcPr>
            <w:tcW w:type="dxa" w:w="25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MONITOR_DEVICE</w:t>
            </w:r>
          </w:p>
        </w:tc>
        <w:tc>
          <w:tcPr>
            <w:tcW w:type="dxa" w:w="68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Browser device profile. Default: Desktop.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MONITOR_LOAD_TIME_MS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Loading time anomaly threshold in milliseconds. Default: 10000.</w:t>
            </w:r>
          </w:p>
        </w:tc>
      </w:tr>
    </w:tbl>
    <w:p>
      <w:pPr>
        <w:spacing w:after="60" w:before="60"/>
      </w:pPr>
    </w:p>
    <w:p>
      <w:pPr>
        <w:pStyle w:val="Heading3"/>
        <w:spacing w:after="80" w:before="180"/>
      </w:pPr>
      <w:r>
        <w:rPr>
          <w:rFonts w:ascii="Arial" w:cs="Arial" w:eastAsia="Arial" w:hAnsi="Arial"/>
          <w:b/>
          <w:bCs/>
          <w:color w:val="1A1A2E"/>
          <w:sz w:val="24"/>
          <w:szCs w:val="24"/>
        </w:rPr>
        <w:t xml:space="preserve">4. Apply the manifests:</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kubectl apply -f dynatrace-workflow-submitter.yaml</w:t>
      </w:r>
    </w:p>
    <w:p>
      <w:pPr>
        <w:spacing w:after="60" w:before="60"/>
      </w:pPr>
    </w:p>
    <w:p>
      <w:pPr>
        <w:pStyle w:val="Heading3"/>
        <w:spacing w:after="80" w:before="180"/>
      </w:pPr>
      <w:r>
        <w:rPr>
          <w:rFonts w:ascii="Arial" w:cs="Arial" w:eastAsia="Arial" w:hAnsi="Arial"/>
          <w:b/>
          <w:bCs/>
          <w:color w:val="1A1A2E"/>
          <w:sz w:val="24"/>
          <w:szCs w:val="24"/>
        </w:rPr>
        <w:t xml:space="preserve">5. Monitor Job progress:</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kubectl get job -n dynatrace-ops dynatrace-workflow-submitter -w</w:t>
      </w:r>
    </w:p>
    <w:p>
      <w:pPr>
        <w:spacing w:after="60" w:before="60"/>
      </w:pPr>
    </w:p>
    <w:p>
      <w:pPr>
        <w:pStyle w:val="Heading3"/>
        <w:spacing w:after="80" w:before="180"/>
      </w:pPr>
      <w:r>
        <w:rPr>
          <w:rFonts w:ascii="Arial" w:cs="Arial" w:eastAsia="Arial" w:hAnsi="Arial"/>
          <w:b/>
          <w:bCs/>
          <w:color w:val="1A1A2E"/>
          <w:sz w:val="24"/>
          <w:szCs w:val="24"/>
        </w:rPr>
        <w:t xml:space="preserve">6. View submitter logs:</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kubectl logs -n dynatrace-ops \</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  -l app.kubernetes.io/name=dynatrace-workflow-submitter \</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  -c submit --follow</w:t>
      </w:r>
    </w:p>
    <w:p>
      <w:pPr>
        <w:spacing w:after="60" w:before="60"/>
      </w:pPr>
    </w:p>
    <w:p>
      <w:pPr>
        <w:pBdr>
          <w:left w:val="single" w:color="F4A836" w:sz="14" w:space="6"/>
        </w:pBdr>
        <w:shd w:fill="FFF8E1" w:val="clear"/>
        <w:spacing w:after="0" w:before="120"/>
      </w:pPr>
      <w:r>
        <w:rPr>
          <w:rFonts w:ascii="Arial" w:cs="Arial" w:eastAsia="Arial" w:hAnsi="Arial"/>
          <w:b/>
          <w:bCs/>
          <w:color w:val="F4A836"/>
          <w:sz w:val="20"/>
          <w:szCs w:val="20"/>
        </w:rPr>
        <w:t xml:space="preserve">NOTE:  </w:t>
      </w:r>
      <w:r>
        <w:rPr>
          <w:rFonts w:ascii="Arial" w:cs="Arial" w:eastAsia="Arial" w:hAnsi="Arial"/>
          <w:color w:val="1A1A2E"/>
          <w:sz w:val="20"/>
          <w:szCs w:val="20"/>
        </w:rPr>
        <w:t xml:space="preserve">The Job has backoffLimit: 2, meaning Kubernetes will retry the pod up to two times on transient failures. Completed pods are automatically cleaned up after one hour (ttlSecondsAfterFinished: 3600).</w:t>
      </w:r>
    </w:p>
    <w:p>
      <w:pPr>
        <w:shd w:fill="FFF8E1" w:val="clear"/>
        <w:spacing w:after="120" w:before="0"/>
      </w:pPr>
    </w:p>
    <w:p>
      <w:pPr>
        <w:pStyle w:val="Heading2"/>
        <w:spacing w:after="120" w:before="240"/>
      </w:pPr>
      <w:r>
        <w:rPr>
          <w:rFonts w:ascii="Arial" w:cs="Arial" w:eastAsia="Arial" w:hAnsi="Arial"/>
          <w:b/>
          <w:bCs/>
          <w:color w:val="1A1A2E"/>
          <w:sz w:val="28"/>
          <w:szCs w:val="28"/>
        </w:rPr>
        <w:t xml:space="preserve">4.5  Step 4 — Verify the Execution</w:t>
      </w:r>
    </w:p>
    <w:p>
      <w:pPr>
        <w:spacing w:after="120" w:before="120"/>
        <w:jc w:val="left"/>
      </w:pPr>
      <w:r>
        <w:rPr>
          <w:rFonts w:ascii="Arial" w:cs="Arial" w:eastAsia="Arial" w:hAnsi="Arial"/>
          <w:b w:val="false"/>
          <w:bCs w:val="false"/>
          <w:color w:val="1A1A2E"/>
          <w:sz w:val="22"/>
          <w:szCs w:val="22"/>
        </w:rPr>
        <w:t xml:space="preserve">When the submitter completes successfully, its final log line will include the monitor entityId and a direct URL:</w:t>
      </w:r>
    </w:p>
    <w:p>
      <w:pPr>
        <w:spacing w:after="60" w:before="60"/>
      </w:pP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[workflow-submitter] Execution completed successfully: status=SUCCEEDED</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[workflow-submitter] Monitor 'My App Health Check' provisioned at https://abc12345.live.dynatrace.com</w:t>
      </w:r>
    </w:p>
    <w:p>
      <w:pPr>
        <w:spacing w:after="60" w:before="60"/>
      </w:pPr>
    </w:p>
    <w:p>
      <w:pPr>
        <w:spacing w:after="120" w:before="120"/>
        <w:jc w:val="left"/>
      </w:pPr>
      <w:r>
        <w:rPr>
          <w:rFonts w:ascii="Arial" w:cs="Arial" w:eastAsia="Arial" w:hAnsi="Arial"/>
          <w:b w:val="false"/>
          <w:bCs w:val="false"/>
          <w:color w:val="1A1A2E"/>
          <w:sz w:val="22"/>
          <w:szCs w:val="22"/>
        </w:rPr>
        <w:t xml:space="preserve">To verify within Dynatrace:</w:t>
      </w:r>
    </w:p>
    <w:p>
      <w:pPr>
        <w:pStyle w:val="ListParagraph"/>
        <w:numPr>
          <w:ilvl w:val="0"/>
          <w:numId w:val="2"/>
        </w:numPr>
        <w:spacing w:after="80" w:before="80"/>
      </w:pPr>
      <w:r>
        <w:rPr>
          <w:rFonts w:ascii="Arial" w:cs="Arial" w:eastAsia="Arial" w:hAnsi="Arial"/>
          <w:color w:val="1A1A2E"/>
          <w:sz w:val="22"/>
          <w:szCs w:val="22"/>
        </w:rPr>
        <w:t xml:space="preserve">Open Automations and locate "Create Synthetic Browser Monitor".</w:t>
      </w:r>
    </w:p>
    <w:p>
      <w:pPr>
        <w:pStyle w:val="ListParagraph"/>
        <w:numPr>
          <w:ilvl w:val="0"/>
          <w:numId w:val="2"/>
        </w:numPr>
        <w:spacing w:after="80" w:before="80"/>
      </w:pPr>
      <w:r>
        <w:rPr>
          <w:rFonts w:ascii="Arial" w:cs="Arial" w:eastAsia="Arial" w:hAnsi="Arial"/>
          <w:color w:val="1A1A2E"/>
          <w:sz w:val="22"/>
          <w:szCs w:val="22"/>
        </w:rPr>
        <w:t xml:space="preserve">Click Execution history (clock icon) to view past runs.</w:t>
      </w:r>
    </w:p>
    <w:p>
      <w:pPr>
        <w:pStyle w:val="ListParagraph"/>
        <w:numPr>
          <w:ilvl w:val="0"/>
          <w:numId w:val="2"/>
        </w:numPr>
        <w:spacing w:after="80" w:before="80"/>
      </w:pPr>
      <w:r>
        <w:rPr>
          <w:rFonts w:ascii="Arial" w:cs="Arial" w:eastAsia="Arial" w:hAnsi="Arial"/>
          <w:color w:val="1A1A2E"/>
          <w:sz w:val="22"/>
          <w:szCs w:val="22"/>
        </w:rPr>
        <w:t xml:space="preserve">Click the latest execution to see per-task status and log output.</w:t>
      </w:r>
    </w:p>
    <w:p>
      <w:pPr>
        <w:pStyle w:val="ListParagraph"/>
        <w:numPr>
          <w:ilvl w:val="0"/>
          <w:numId w:val="2"/>
        </w:numPr>
        <w:spacing w:after="80" w:before="80"/>
      </w:pPr>
      <w:r>
        <w:rPr>
          <w:rFonts w:ascii="Arial" w:cs="Arial" w:eastAsia="Arial" w:hAnsi="Arial"/>
          <w:color w:val="1A1A2E"/>
          <w:sz w:val="22"/>
          <w:szCs w:val="22"/>
        </w:rPr>
        <w:t xml:space="preserve">The verify_and_log_result task output contains the entityId and a direct link to the new monitor.</w:t>
      </w:r>
    </w:p>
    <w:p>
      <w:pPr>
        <w:spacing w:after="60" w:before="60"/>
      </w:pPr>
    </w:p>
    <w:p>
      <w:r>
        <w:br w:type="page"/>
      </w:r>
    </w:p>
    <w:p>
      <w:pPr>
        <w:pStyle w:val="Heading1"/>
        <w:pBdr>
          <w:bottom w:val="single" w:color="6E2FA0" w:sz="6" w:space="4"/>
        </w:pBdr>
        <w:spacing w:after="160" w:before="320"/>
      </w:pPr>
      <w:r>
        <w:rPr>
          <w:rFonts w:ascii="Arial" w:cs="Arial" w:eastAsia="Arial" w:hAnsi="Arial"/>
          <w:b/>
          <w:bCs/>
          <w:color w:val="6E2FA0"/>
          <w:sz w:val="36"/>
          <w:szCs w:val="36"/>
        </w:rPr>
        <w:t xml:space="preserve">5. Editing the Monitor in the Dynatrace UI</w:t>
      </w:r>
    </w:p>
    <w:p>
      <w:pPr>
        <w:spacing w:after="120" w:before="120"/>
        <w:jc w:val="left"/>
      </w:pPr>
      <w:r>
        <w:rPr>
          <w:rFonts w:ascii="Arial" w:cs="Arial" w:eastAsia="Arial" w:hAnsi="Arial"/>
          <w:b w:val="false"/>
          <w:bCs w:val="false"/>
          <w:color w:val="1A1A2E"/>
          <w:sz w:val="22"/>
          <w:szCs w:val="22"/>
        </w:rPr>
        <w:t xml:space="preserve">After the workflow creates a synthetic monitor, all subsequent configuration changes are made through the Dynatrace Synthetics UI. No workflow re-run is needed to modify an existing monitor.</w:t>
      </w:r>
    </w:p>
    <w:p>
      <w:pPr>
        <w:spacing w:after="60" w:before="60"/>
      </w:pPr>
    </w:p>
    <w:p>
      <w:pPr>
        <w:pStyle w:val="Heading2"/>
        <w:spacing w:after="120" w:before="240"/>
      </w:pPr>
      <w:r>
        <w:rPr>
          <w:rFonts w:ascii="Arial" w:cs="Arial" w:eastAsia="Arial" w:hAnsi="Arial"/>
          <w:b/>
          <w:bCs/>
          <w:color w:val="1A1A2E"/>
          <w:sz w:val="28"/>
          <w:szCs w:val="28"/>
        </w:rPr>
        <w:t xml:space="preserve">5.1  Navigating to the Monitor</w:t>
      </w:r>
    </w:p>
    <w:p>
      <w:pPr>
        <w:pStyle w:val="ListParagraph"/>
        <w:numPr>
          <w:ilvl w:val="0"/>
          <w:numId w:val="2"/>
        </w:numPr>
        <w:spacing w:after="80" w:before="80"/>
      </w:pPr>
      <w:r>
        <w:rPr>
          <w:rFonts w:ascii="Arial" w:cs="Arial" w:eastAsia="Arial" w:hAnsi="Arial"/>
          <w:color w:val="1A1A2E"/>
          <w:sz w:val="22"/>
          <w:szCs w:val="22"/>
        </w:rPr>
        <w:t xml:space="preserve">Log in to your Dynatrace tenant.</w:t>
      </w:r>
    </w:p>
    <w:p>
      <w:pPr>
        <w:pStyle w:val="ListParagraph"/>
        <w:numPr>
          <w:ilvl w:val="0"/>
          <w:numId w:val="2"/>
        </w:numPr>
        <w:spacing w:after="80" w:before="80"/>
      </w:pPr>
      <w:r>
        <w:rPr>
          <w:rFonts w:ascii="Arial" w:cs="Arial" w:eastAsia="Arial" w:hAnsi="Arial"/>
          <w:color w:val="1A1A2E"/>
          <w:sz w:val="22"/>
          <w:szCs w:val="22"/>
        </w:rPr>
        <w:t xml:space="preserve">In the left navigation, expand Synthetic and click Synthetic monitors. Alternatively, type the monitor name in the global search bar at the top of the screen.</w:t>
      </w:r>
    </w:p>
    <w:p>
      <w:pPr>
        <w:pStyle w:val="ListParagraph"/>
        <w:numPr>
          <w:ilvl w:val="0"/>
          <w:numId w:val="2"/>
        </w:numPr>
        <w:spacing w:after="80" w:before="80"/>
      </w:pPr>
      <w:r>
        <w:rPr>
          <w:rFonts w:ascii="Arial" w:cs="Arial" w:eastAsia="Arial" w:hAnsi="Arial"/>
          <w:color w:val="1A1A2E"/>
          <w:sz w:val="22"/>
          <w:szCs w:val="22"/>
        </w:rPr>
        <w:t xml:space="preserve">Locate your monitor by name (e.g. "My App Health Check") in the monitor list.</w:t>
      </w:r>
    </w:p>
    <w:p>
      <w:pPr>
        <w:pStyle w:val="ListParagraph"/>
        <w:numPr>
          <w:ilvl w:val="0"/>
          <w:numId w:val="2"/>
        </w:numPr>
        <w:spacing w:after="80" w:before="80"/>
      </w:pPr>
      <w:r>
        <w:rPr>
          <w:rFonts w:ascii="Arial" w:cs="Arial" w:eastAsia="Arial" w:hAnsi="Arial"/>
          <w:color w:val="1A1A2E"/>
          <w:sz w:val="22"/>
          <w:szCs w:val="22"/>
        </w:rPr>
        <w:t xml:space="preserve">Click the monitor name to open its detail view.</w:t>
      </w:r>
    </w:p>
    <w:p>
      <w:pPr>
        <w:pStyle w:val="ListParagraph"/>
        <w:numPr>
          <w:ilvl w:val="0"/>
          <w:numId w:val="2"/>
        </w:numPr>
        <w:spacing w:after="80" w:before="80"/>
      </w:pPr>
      <w:r>
        <w:rPr>
          <w:rFonts w:ascii="Arial" w:cs="Arial" w:eastAsia="Arial" w:hAnsi="Arial"/>
          <w:color w:val="1A1A2E"/>
          <w:sz w:val="22"/>
          <w:szCs w:val="22"/>
        </w:rPr>
        <w:t xml:space="preserve">Click the Edit button (pencil icon) in the top-right corner of the detail page to open the monitor editor.</w:t>
      </w:r>
    </w:p>
    <w:p>
      <w:pPr>
        <w:spacing w:after="60" w:before="60"/>
      </w:pPr>
    </w:p>
    <w:p>
      <w:pPr>
        <w:pBdr>
          <w:left w:val="single" w:color="F4A836" w:sz="14" w:space="6"/>
        </w:pBdr>
        <w:shd w:fill="FFF8E1" w:val="clear"/>
        <w:spacing w:after="0" w:before="120"/>
      </w:pPr>
      <w:r>
        <w:rPr>
          <w:rFonts w:ascii="Arial" w:cs="Arial" w:eastAsia="Arial" w:hAnsi="Arial"/>
          <w:b/>
          <w:bCs/>
          <w:color w:val="F4A836"/>
          <w:sz w:val="20"/>
          <w:szCs w:val="20"/>
        </w:rPr>
        <w:t xml:space="preserve">TIP:  </w:t>
      </w:r>
      <w:r>
        <w:rPr>
          <w:rFonts w:ascii="Arial" w:cs="Arial" w:eastAsia="Arial" w:hAnsi="Arial"/>
          <w:color w:val="1A1A2E"/>
          <w:sz w:val="20"/>
          <w:szCs w:val="20"/>
        </w:rPr>
        <w:t xml:space="preserve">If you know the entityId from the workflow output (format: SYNTHETIC_TEST-XXXXXXXXXXXXXXXX), you can navigate directly to https://{tenant}/ui/synthetic/monitors/{entityId}.</w:t>
      </w:r>
    </w:p>
    <w:p>
      <w:pPr>
        <w:shd w:fill="FFF8E1" w:val="clear"/>
        <w:spacing w:after="120" w:before="0"/>
      </w:pPr>
    </w:p>
    <w:p>
      <w:pPr>
        <w:pStyle w:val="Heading2"/>
        <w:spacing w:after="120" w:before="240"/>
      </w:pPr>
      <w:r>
        <w:rPr>
          <w:rFonts w:ascii="Arial" w:cs="Arial" w:eastAsia="Arial" w:hAnsi="Arial"/>
          <w:b/>
          <w:bCs/>
          <w:color w:val="1A1A2E"/>
          <w:sz w:val="28"/>
          <w:szCs w:val="28"/>
        </w:rPr>
        <w:t xml:space="preserve">5.2  Editing the Monitor Name</w:t>
      </w:r>
    </w:p>
    <w:p>
      <w:pPr>
        <w:pStyle w:val="ListParagraph"/>
        <w:numPr>
          <w:ilvl w:val="0"/>
          <w:numId w:val="2"/>
        </w:numPr>
        <w:spacing w:after="80" w:before="80"/>
      </w:pPr>
      <w:r>
        <w:rPr>
          <w:rFonts w:ascii="Arial" w:cs="Arial" w:eastAsia="Arial" w:hAnsi="Arial"/>
          <w:color w:val="1A1A2E"/>
          <w:sz w:val="22"/>
          <w:szCs w:val="22"/>
        </w:rPr>
        <w:t xml:space="preserve">Open the monitor editor as described in Section 5.1.</w:t>
      </w:r>
    </w:p>
    <w:p>
      <w:pPr>
        <w:pStyle w:val="ListParagraph"/>
        <w:numPr>
          <w:ilvl w:val="0"/>
          <w:numId w:val="2"/>
        </w:numPr>
        <w:spacing w:after="80" w:before="80"/>
      </w:pPr>
      <w:r>
        <w:rPr>
          <w:rFonts w:ascii="Arial" w:cs="Arial" w:eastAsia="Arial" w:hAnsi="Arial"/>
          <w:color w:val="1A1A2E"/>
          <w:sz w:val="22"/>
          <w:szCs w:val="22"/>
        </w:rPr>
        <w:t xml:space="preserve">The monitor name field appears at the very top of the editor, above the script area.</w:t>
      </w:r>
    </w:p>
    <w:p>
      <w:pPr>
        <w:pStyle w:val="ListParagraph"/>
        <w:numPr>
          <w:ilvl w:val="0"/>
          <w:numId w:val="2"/>
        </w:numPr>
        <w:spacing w:after="80" w:before="80"/>
      </w:pPr>
      <w:r>
        <w:rPr>
          <w:rFonts w:ascii="Arial" w:cs="Arial" w:eastAsia="Arial" w:hAnsi="Arial"/>
          <w:color w:val="1A1A2E"/>
          <w:sz w:val="22"/>
          <w:szCs w:val="22"/>
        </w:rPr>
        <w:t xml:space="preserve">Click the name field and edit the text directly.</w:t>
      </w:r>
    </w:p>
    <w:p>
      <w:pPr>
        <w:pStyle w:val="ListParagraph"/>
        <w:numPr>
          <w:ilvl w:val="0"/>
          <w:numId w:val="2"/>
        </w:numPr>
        <w:spacing w:after="80" w:before="80"/>
      </w:pPr>
      <w:r>
        <w:rPr>
          <w:rFonts w:ascii="Arial" w:cs="Arial" w:eastAsia="Arial" w:hAnsi="Arial"/>
          <w:color w:val="1A1A2E"/>
          <w:sz w:val="22"/>
          <w:szCs w:val="22"/>
        </w:rPr>
        <w:t xml:space="preserve">Click Save at the bottom of the page. The new name is reflected immediately across the Dynatrace UI.</w:t>
      </w:r>
    </w:p>
    <w:p>
      <w:pPr>
        <w:spacing w:after="60" w:before="60"/>
      </w:pPr>
    </w:p>
    <w:p>
      <w:pPr>
        <w:pBdr>
          <w:left w:val="single" w:color="F4A836" w:sz="14" w:space="6"/>
        </w:pBdr>
        <w:shd w:fill="FFF8E1" w:val="clear"/>
        <w:spacing w:after="0" w:before="120"/>
      </w:pPr>
      <w:r>
        <w:rPr>
          <w:rFonts w:ascii="Arial" w:cs="Arial" w:eastAsia="Arial" w:hAnsi="Arial"/>
          <w:b/>
          <w:bCs/>
          <w:color w:val="F4A836"/>
          <w:sz w:val="20"/>
          <w:szCs w:val="20"/>
        </w:rPr>
        <w:t xml:space="preserve">NOTE:  </w:t>
      </w:r>
      <w:r>
        <w:rPr>
          <w:rFonts w:ascii="Arial" w:cs="Arial" w:eastAsia="Arial" w:hAnsi="Arial"/>
          <w:color w:val="1A1A2E"/>
          <w:sz w:val="20"/>
          <w:szCs w:val="20"/>
        </w:rPr>
        <w:t xml:space="preserve">Changing the monitor name in the UI does not update the monitorName workflow variable. If you plan to re-run the workflow in future (e.g. to provision another environment), update the variable in the Variables panel to match your desired name.</w:t>
      </w:r>
    </w:p>
    <w:p>
      <w:pPr>
        <w:shd w:fill="FFF8E1" w:val="clear"/>
        <w:spacing w:after="120" w:before="0"/>
      </w:pPr>
    </w:p>
    <w:p>
      <w:pPr>
        <w:pStyle w:val="Heading2"/>
        <w:spacing w:after="120" w:before="240"/>
      </w:pPr>
      <w:r>
        <w:rPr>
          <w:rFonts w:ascii="Arial" w:cs="Arial" w:eastAsia="Arial" w:hAnsi="Arial"/>
          <w:b/>
          <w:bCs/>
          <w:color w:val="1A1A2E"/>
          <w:sz w:val="28"/>
          <w:szCs w:val="28"/>
        </w:rPr>
        <w:t xml:space="preserve">5.3  Changing the Target URL</w:t>
      </w:r>
    </w:p>
    <w:p>
      <w:pPr>
        <w:pStyle w:val="ListParagraph"/>
        <w:numPr>
          <w:ilvl w:val="0"/>
          <w:numId w:val="2"/>
        </w:numPr>
        <w:spacing w:after="80" w:before="80"/>
      </w:pPr>
      <w:r>
        <w:rPr>
          <w:rFonts w:ascii="Arial" w:cs="Arial" w:eastAsia="Arial" w:hAnsi="Arial"/>
          <w:color w:val="1A1A2E"/>
          <w:sz w:val="22"/>
          <w:szCs w:val="22"/>
        </w:rPr>
        <w:t xml:space="preserve">Open the monitor editor.</w:t>
      </w:r>
    </w:p>
    <w:p>
      <w:pPr>
        <w:pStyle w:val="ListParagraph"/>
        <w:numPr>
          <w:ilvl w:val="0"/>
          <w:numId w:val="2"/>
        </w:numPr>
        <w:spacing w:after="80" w:before="80"/>
      </w:pPr>
      <w:r>
        <w:rPr>
          <w:rFonts w:ascii="Arial" w:cs="Arial" w:eastAsia="Arial" w:hAnsi="Arial"/>
          <w:color w:val="1A1A2E"/>
          <w:sz w:val="22"/>
          <w:szCs w:val="22"/>
        </w:rPr>
        <w:t xml:space="preserve">Locate the Script section. This displays the event steps that make up the browser script.</w:t>
      </w:r>
    </w:p>
    <w:p>
      <w:pPr>
        <w:pStyle w:val="ListParagraph"/>
        <w:numPr>
          <w:ilvl w:val="0"/>
          <w:numId w:val="2"/>
        </w:numPr>
        <w:spacing w:after="80" w:before="80"/>
      </w:pPr>
      <w:r>
        <w:rPr>
          <w:rFonts w:ascii="Arial" w:cs="Arial" w:eastAsia="Arial" w:hAnsi="Arial"/>
          <w:color w:val="1A1A2E"/>
          <w:sz w:val="22"/>
          <w:szCs w:val="22"/>
        </w:rPr>
        <w:t xml:space="preserve">Find the navigate event step — its description will read Loading of "[your URL]".</w:t>
      </w:r>
    </w:p>
    <w:p>
      <w:pPr>
        <w:pStyle w:val="ListParagraph"/>
        <w:numPr>
          <w:ilvl w:val="0"/>
          <w:numId w:val="2"/>
        </w:numPr>
        <w:spacing w:after="80" w:before="80"/>
      </w:pPr>
      <w:r>
        <w:rPr>
          <w:rFonts w:ascii="Arial" w:cs="Arial" w:eastAsia="Arial" w:hAnsi="Arial"/>
          <w:color w:val="1A1A2E"/>
          <w:sz w:val="22"/>
          <w:szCs w:val="22"/>
        </w:rPr>
        <w:t xml:space="preserve">Click the step to expand it.</w:t>
      </w:r>
    </w:p>
    <w:p>
      <w:pPr>
        <w:pStyle w:val="ListParagraph"/>
        <w:numPr>
          <w:ilvl w:val="0"/>
          <w:numId w:val="2"/>
        </w:numPr>
        <w:spacing w:after="80" w:before="80"/>
      </w:pPr>
      <w:r>
        <w:rPr>
          <w:rFonts w:ascii="Arial" w:cs="Arial" w:eastAsia="Arial" w:hAnsi="Arial"/>
          <w:color w:val="1A1A2E"/>
          <w:sz w:val="22"/>
          <w:szCs w:val="22"/>
        </w:rPr>
        <w:t xml:space="preserve">Edit the URL field with the new target address.</w:t>
      </w:r>
    </w:p>
    <w:p>
      <w:pPr>
        <w:pStyle w:val="ListParagraph"/>
        <w:numPr>
          <w:ilvl w:val="0"/>
          <w:numId w:val="2"/>
        </w:numPr>
        <w:spacing w:after="80" w:before="80"/>
      </w:pPr>
      <w:r>
        <w:rPr>
          <w:rFonts w:ascii="Arial" w:cs="Arial" w:eastAsia="Arial" w:hAnsi="Arial"/>
          <w:color w:val="1A1A2E"/>
          <w:sz w:val="22"/>
          <w:szCs w:val="22"/>
        </w:rPr>
        <w:t xml:space="preserve">Click Save.</w:t>
      </w:r>
    </w:p>
    <w:p>
      <w:pPr>
        <w:spacing w:after="60" w:before="60"/>
      </w:pPr>
    </w:p>
    <w:p>
      <w:pPr>
        <w:pStyle w:val="Heading2"/>
        <w:spacing w:after="120" w:before="240"/>
      </w:pPr>
      <w:r>
        <w:rPr>
          <w:rFonts w:ascii="Arial" w:cs="Arial" w:eastAsia="Arial" w:hAnsi="Arial"/>
          <w:b/>
          <w:bCs/>
          <w:color w:val="1A1A2E"/>
          <w:sz w:val="28"/>
          <w:szCs w:val="28"/>
        </w:rPr>
        <w:t xml:space="preserve">5.4  Changing Frequency and Locations</w:t>
      </w:r>
    </w:p>
    <w:p>
      <w:pPr>
        <w:pStyle w:val="ListParagraph"/>
        <w:numPr>
          <w:ilvl w:val="0"/>
          <w:numId w:val="2"/>
        </w:numPr>
        <w:spacing w:after="80" w:before="80"/>
      </w:pPr>
      <w:r>
        <w:rPr>
          <w:rFonts w:ascii="Arial" w:cs="Arial" w:eastAsia="Arial" w:hAnsi="Arial"/>
          <w:color w:val="1A1A2E"/>
          <w:sz w:val="22"/>
          <w:szCs w:val="22"/>
        </w:rPr>
        <w:t xml:space="preserve">Open the monitor editor.</w:t>
      </w:r>
    </w:p>
    <w:p>
      <w:pPr>
        <w:pStyle w:val="ListParagraph"/>
        <w:numPr>
          <w:ilvl w:val="0"/>
          <w:numId w:val="2"/>
        </w:numPr>
        <w:spacing w:after="80" w:before="80"/>
      </w:pPr>
      <w:r>
        <w:rPr>
          <w:rFonts w:ascii="Arial" w:cs="Arial" w:eastAsia="Arial" w:hAnsi="Arial"/>
          <w:color w:val="1A1A2E"/>
          <w:sz w:val="22"/>
          <w:szCs w:val="22"/>
        </w:rPr>
        <w:t xml:space="preserve">Click the Settings tab within the editor (not the global Settings menu).</w:t>
      </w:r>
    </w:p>
    <w:p>
      <w:pPr>
        <w:pStyle w:val="ListParagraph"/>
        <w:numPr>
          <w:ilvl w:val="0"/>
          <w:numId w:val="2"/>
        </w:numPr>
        <w:spacing w:after="80" w:before="80"/>
      </w:pPr>
      <w:r>
        <w:rPr>
          <w:rFonts w:ascii="Arial" w:cs="Arial" w:eastAsia="Arial" w:hAnsi="Arial"/>
          <w:color w:val="1A1A2E"/>
          <w:sz w:val="22"/>
          <w:szCs w:val="22"/>
        </w:rPr>
        <w:t xml:space="preserve">Under Frequency, use the dropdown to select a new polling interval. The minimum supported value is 5 minutes.</w:t>
      </w:r>
    </w:p>
    <w:p>
      <w:pPr>
        <w:pStyle w:val="ListParagraph"/>
        <w:numPr>
          <w:ilvl w:val="0"/>
          <w:numId w:val="2"/>
        </w:numPr>
        <w:spacing w:after="80" w:before="80"/>
      </w:pPr>
      <w:r>
        <w:rPr>
          <w:rFonts w:ascii="Arial" w:cs="Arial" w:eastAsia="Arial" w:hAnsi="Arial"/>
          <w:color w:val="1A1A2E"/>
          <w:sz w:val="22"/>
          <w:szCs w:val="22"/>
        </w:rPr>
        <w:t xml:space="preserve">Under Locations, use the search box to add or remove monitoring locations. At least one location must remain selected.</w:t>
      </w:r>
    </w:p>
    <w:p>
      <w:pPr>
        <w:pStyle w:val="ListParagraph"/>
        <w:numPr>
          <w:ilvl w:val="0"/>
          <w:numId w:val="2"/>
        </w:numPr>
        <w:spacing w:after="80" w:before="80"/>
      </w:pPr>
      <w:r>
        <w:rPr>
          <w:rFonts w:ascii="Arial" w:cs="Arial" w:eastAsia="Arial" w:hAnsi="Arial"/>
          <w:color w:val="1A1A2E"/>
          <w:sz w:val="22"/>
          <w:szCs w:val="22"/>
        </w:rPr>
        <w:t xml:space="preserve">Click Save.</w:t>
      </w:r>
    </w:p>
    <w:p>
      <w:pPr>
        <w:spacing w:after="60" w:before="60"/>
      </w:pPr>
    </w:p>
    <w:p>
      <w:pPr>
        <w:pBdr>
          <w:left w:val="single" w:color="F4A836" w:sz="14" w:space="6"/>
        </w:pBdr>
        <w:shd w:fill="FFF8E1" w:val="clear"/>
        <w:spacing w:after="0" w:before="120"/>
      </w:pPr>
      <w:r>
        <w:rPr>
          <w:rFonts w:ascii="Arial" w:cs="Arial" w:eastAsia="Arial" w:hAnsi="Arial"/>
          <w:b/>
          <w:bCs/>
          <w:color w:val="F4A836"/>
          <w:sz w:val="20"/>
          <w:szCs w:val="20"/>
        </w:rPr>
        <w:t xml:space="preserve">NOTE:  </w:t>
      </w:r>
      <w:r>
        <w:rPr>
          <w:rFonts w:ascii="Arial" w:cs="Arial" w:eastAsia="Arial" w:hAnsi="Arial"/>
          <w:color w:val="1A1A2E"/>
          <w:sz w:val="20"/>
          <w:szCs w:val="20"/>
        </w:rPr>
        <w:t xml:space="preserve">Removing all locations and saving will disable the monitor. Dynatrace requires at least one active location for a monitor to run.</w:t>
      </w:r>
    </w:p>
    <w:p>
      <w:pPr>
        <w:shd w:fill="FFF8E1" w:val="clear"/>
        <w:spacing w:after="120" w:before="0"/>
      </w:pPr>
    </w:p>
    <w:p>
      <w:pPr>
        <w:pStyle w:val="Heading2"/>
        <w:spacing w:after="120" w:before="240"/>
      </w:pPr>
      <w:r>
        <w:rPr>
          <w:rFonts w:ascii="Arial" w:cs="Arial" w:eastAsia="Arial" w:hAnsi="Arial"/>
          <w:b/>
          <w:bCs/>
          <w:color w:val="1A1A2E"/>
          <w:sz w:val="28"/>
          <w:szCs w:val="28"/>
        </w:rPr>
        <w:t xml:space="preserve">5.5  Editing Anomaly Detection Settings</w:t>
      </w:r>
    </w:p>
    <w:p>
      <w:pPr>
        <w:pStyle w:val="ListParagraph"/>
        <w:numPr>
          <w:ilvl w:val="0"/>
          <w:numId w:val="2"/>
        </w:numPr>
        <w:spacing w:after="80" w:before="80"/>
      </w:pPr>
      <w:r>
        <w:rPr>
          <w:rFonts w:ascii="Arial" w:cs="Arial" w:eastAsia="Arial" w:hAnsi="Arial"/>
          <w:color w:val="1A1A2E"/>
          <w:sz w:val="22"/>
          <w:szCs w:val="22"/>
        </w:rPr>
        <w:t xml:space="preserve">Open the monitor editor.</w:t>
      </w:r>
    </w:p>
    <w:p>
      <w:pPr>
        <w:pStyle w:val="ListParagraph"/>
        <w:numPr>
          <w:ilvl w:val="0"/>
          <w:numId w:val="2"/>
        </w:numPr>
        <w:spacing w:after="80" w:before="80"/>
      </w:pPr>
      <w:r>
        <w:rPr>
          <w:rFonts w:ascii="Arial" w:cs="Arial" w:eastAsia="Arial" w:hAnsi="Arial"/>
          <w:color w:val="1A1A2E"/>
          <w:sz w:val="22"/>
          <w:szCs w:val="22"/>
        </w:rPr>
        <w:t xml:space="preserve">Click the Anomaly detection tab within the editor.</w:t>
      </w:r>
    </w:p>
    <w:p>
      <w:pPr>
        <w:pStyle w:val="ListParagraph"/>
        <w:numPr>
          <w:ilvl w:val="0"/>
          <w:numId w:val="2"/>
        </w:numPr>
        <w:spacing w:after="80" w:before="80"/>
      </w:pPr>
      <w:r>
        <w:rPr>
          <w:rFonts w:ascii="Arial" w:cs="Arial" w:eastAsia="Arial" w:hAnsi="Arial"/>
          <w:color w:val="1A1A2E"/>
          <w:sz w:val="22"/>
          <w:szCs w:val="22"/>
        </w:rPr>
        <w:t xml:space="preserve">Outage handling: Toggle the Global outage and Local outage switches as required. For local outage, set the number of affected locations and consecutive failed runs that must occur before an alert is raised.</w:t>
      </w:r>
    </w:p>
    <w:p>
      <w:pPr>
        <w:pStyle w:val="ListParagraph"/>
        <w:numPr>
          <w:ilvl w:val="0"/>
          <w:numId w:val="2"/>
        </w:numPr>
        <w:spacing w:after="80" w:before="80"/>
      </w:pPr>
      <w:r>
        <w:rPr>
          <w:rFonts w:ascii="Arial" w:cs="Arial" w:eastAsia="Arial" w:hAnsi="Arial"/>
          <w:color w:val="1A1A2E"/>
          <w:sz w:val="22"/>
          <w:szCs w:val="22"/>
        </w:rPr>
        <w:t xml:space="preserve">Loading time thresholds: Click Add threshold to define a new threshold, or click an existing threshold to edit its value. The threshold type TOTAL measures the full page load time in milliseconds.</w:t>
      </w:r>
    </w:p>
    <w:p>
      <w:pPr>
        <w:pStyle w:val="ListParagraph"/>
        <w:numPr>
          <w:ilvl w:val="0"/>
          <w:numId w:val="2"/>
        </w:numPr>
        <w:spacing w:after="80" w:before="80"/>
      </w:pPr>
      <w:r>
        <w:rPr>
          <w:rFonts w:ascii="Arial" w:cs="Arial" w:eastAsia="Arial" w:hAnsi="Arial"/>
          <w:color w:val="1A1A2E"/>
          <w:sz w:val="22"/>
          <w:szCs w:val="22"/>
        </w:rPr>
        <w:t xml:space="preserve">Click Save.</w:t>
      </w:r>
    </w:p>
    <w:p>
      <w:pPr>
        <w:spacing w:after="60" w:before="60"/>
      </w:pPr>
    </w:p>
    <w:p>
      <w:pPr>
        <w:pStyle w:val="Heading2"/>
        <w:spacing w:after="120" w:before="240"/>
      </w:pPr>
      <w:r>
        <w:rPr>
          <w:rFonts w:ascii="Arial" w:cs="Arial" w:eastAsia="Arial" w:hAnsi="Arial"/>
          <w:b/>
          <w:bCs/>
          <w:color w:val="1A1A2E"/>
          <w:sz w:val="28"/>
          <w:szCs w:val="28"/>
        </w:rPr>
        <w:t xml:space="preserve">5.6  Editing the Browser Script</w:t>
      </w:r>
    </w:p>
    <w:p>
      <w:pPr>
        <w:spacing w:after="120" w:before="120"/>
        <w:jc w:val="left"/>
      </w:pPr>
      <w:r>
        <w:rPr>
          <w:rFonts w:ascii="Arial" w:cs="Arial" w:eastAsia="Arial" w:hAnsi="Arial"/>
          <w:b w:val="false"/>
          <w:bCs w:val="false"/>
          <w:color w:val="1A1A2E"/>
          <w:sz w:val="22"/>
          <w:szCs w:val="22"/>
        </w:rPr>
        <w:t xml:space="preserve">The browser script defines the sequence of actions the synthetic agent performs on each execution. The workflow creates a single navigate event; you can add further steps in the UI.</w:t>
      </w:r>
    </w:p>
    <w:p>
      <w:pPr>
        <w:spacing w:after="60" w:before="60"/>
      </w:pPr>
    </w:p>
    <w:p>
      <w:pPr>
        <w:pStyle w:val="ListParagraph"/>
        <w:numPr>
          <w:ilvl w:val="0"/>
          <w:numId w:val="2"/>
        </w:numPr>
        <w:spacing w:after="80" w:before="80"/>
      </w:pPr>
      <w:r>
        <w:rPr>
          <w:rFonts w:ascii="Arial" w:cs="Arial" w:eastAsia="Arial" w:hAnsi="Arial"/>
          <w:color w:val="1A1A2E"/>
          <w:sz w:val="22"/>
          <w:szCs w:val="22"/>
        </w:rPr>
        <w:t xml:space="preserve">Open the monitor editor.</w:t>
      </w:r>
    </w:p>
    <w:p>
      <w:pPr>
        <w:pStyle w:val="ListParagraph"/>
        <w:numPr>
          <w:ilvl w:val="0"/>
          <w:numId w:val="2"/>
        </w:numPr>
        <w:spacing w:after="80" w:before="80"/>
      </w:pPr>
      <w:r>
        <w:rPr>
          <w:rFonts w:ascii="Arial" w:cs="Arial" w:eastAsia="Arial" w:hAnsi="Arial"/>
          <w:color w:val="1A1A2E"/>
          <w:sz w:val="22"/>
          <w:szCs w:val="22"/>
        </w:rPr>
        <w:t xml:space="preserve">In the Script section, the existing navigate step is shown. To add a step, click Add event below the last step.</w:t>
      </w:r>
    </w:p>
    <w:p>
      <w:pPr>
        <w:pStyle w:val="ListParagraph"/>
        <w:numPr>
          <w:ilvl w:val="0"/>
          <w:numId w:val="2"/>
        </w:numPr>
        <w:spacing w:after="80" w:before="80"/>
      </w:pPr>
      <w:r>
        <w:rPr>
          <w:rFonts w:ascii="Arial" w:cs="Arial" w:eastAsia="Arial" w:hAnsi="Arial"/>
          <w:color w:val="1A1A2E"/>
          <w:sz w:val="22"/>
          <w:szCs w:val="22"/>
        </w:rPr>
        <w:t xml:space="preserve">Choose an event type from the dialog. Common types include:</w:t>
      </w:r>
    </w:p>
    <w:p>
      <w:pPr>
        <w:pStyle w:val="ListParagraph"/>
        <w:numPr>
          <w:ilvl w:val="0"/>
          <w:numId w:val="3"/>
        </w:numPr>
        <w:spacing w:after="60" w:before="60"/>
      </w:pPr>
      <w:r>
        <w:rPr>
          <w:rFonts w:ascii="Arial" w:cs="Arial" w:eastAsia="Arial" w:hAnsi="Arial"/>
          <w:color w:val="1A1A2E"/>
          <w:sz w:val="22"/>
          <w:szCs w:val="22"/>
        </w:rPr>
        <w:t xml:space="preserve">navigate — load a new URL</w:t>
      </w:r>
    </w:p>
    <w:p>
      <w:pPr>
        <w:pStyle w:val="ListParagraph"/>
        <w:numPr>
          <w:ilvl w:val="0"/>
          <w:numId w:val="3"/>
        </w:numPr>
        <w:spacing w:after="60" w:before="60"/>
      </w:pPr>
      <w:r>
        <w:rPr>
          <w:rFonts w:ascii="Arial" w:cs="Arial" w:eastAsia="Arial" w:hAnsi="Arial"/>
          <w:color w:val="1A1A2E"/>
          <w:sz w:val="22"/>
          <w:szCs w:val="22"/>
        </w:rPr>
        <w:t xml:space="preserve">click — click a CSS selector or element</w:t>
      </w:r>
    </w:p>
    <w:p>
      <w:pPr>
        <w:pStyle w:val="ListParagraph"/>
        <w:numPr>
          <w:ilvl w:val="0"/>
          <w:numId w:val="3"/>
        </w:numPr>
        <w:spacing w:after="60" w:before="60"/>
      </w:pPr>
      <w:r>
        <w:rPr>
          <w:rFonts w:ascii="Arial" w:cs="Arial" w:eastAsia="Arial" w:hAnsi="Arial"/>
          <w:color w:val="1A1A2E"/>
          <w:sz w:val="22"/>
          <w:szCs w:val="22"/>
        </w:rPr>
        <w:t xml:space="preserve">keystrokes — type text into a field</w:t>
      </w:r>
    </w:p>
    <w:p>
      <w:pPr>
        <w:pStyle w:val="ListParagraph"/>
        <w:numPr>
          <w:ilvl w:val="0"/>
          <w:numId w:val="3"/>
        </w:numPr>
        <w:spacing w:after="60" w:before="60"/>
      </w:pPr>
      <w:r>
        <w:rPr>
          <w:rFonts w:ascii="Arial" w:cs="Arial" w:eastAsia="Arial" w:hAnsi="Arial"/>
          <w:color w:val="1A1A2E"/>
          <w:sz w:val="22"/>
          <w:szCs w:val="22"/>
        </w:rPr>
        <w:t xml:space="preserve">selectOption — choose a value in a dropdown</w:t>
      </w:r>
    </w:p>
    <w:p>
      <w:pPr>
        <w:pStyle w:val="ListParagraph"/>
        <w:numPr>
          <w:ilvl w:val="0"/>
          <w:numId w:val="3"/>
        </w:numPr>
        <w:spacing w:after="60" w:before="60"/>
      </w:pPr>
      <w:r>
        <w:rPr>
          <w:rFonts w:ascii="Arial" w:cs="Arial" w:eastAsia="Arial" w:hAnsi="Arial"/>
          <w:color w:val="1A1A2E"/>
          <w:sz w:val="22"/>
          <w:szCs w:val="22"/>
        </w:rPr>
        <w:t xml:space="preserve">javaScript — execute arbitrary JavaScript on the page</w:t>
      </w:r>
    </w:p>
    <w:p>
      <w:pPr>
        <w:pStyle w:val="ListParagraph"/>
        <w:numPr>
          <w:ilvl w:val="0"/>
          <w:numId w:val="2"/>
        </w:numPr>
        <w:spacing w:after="80" w:before="80"/>
      </w:pPr>
      <w:r>
        <w:rPr>
          <w:rFonts w:ascii="Arial" w:cs="Arial" w:eastAsia="Arial" w:hAnsi="Arial"/>
          <w:color w:val="1A1A2E"/>
          <w:sz w:val="22"/>
          <w:szCs w:val="22"/>
        </w:rPr>
        <w:t xml:space="preserve">Configure the required fields for the chosen event type (URL, selector, value, etc.).</w:t>
      </w:r>
    </w:p>
    <w:p>
      <w:pPr>
        <w:pStyle w:val="ListParagraph"/>
        <w:numPr>
          <w:ilvl w:val="0"/>
          <w:numId w:val="2"/>
        </w:numPr>
        <w:spacing w:after="80" w:before="80"/>
      </w:pPr>
      <w:r>
        <w:rPr>
          <w:rFonts w:ascii="Arial" w:cs="Arial" w:eastAsia="Arial" w:hAnsi="Arial"/>
          <w:color w:val="1A1A2E"/>
          <w:sz w:val="22"/>
          <w:szCs w:val="22"/>
        </w:rPr>
        <w:t xml:space="preserve">To reorder steps, drag the step handle on the left side of each step row.</w:t>
      </w:r>
    </w:p>
    <w:p>
      <w:pPr>
        <w:pStyle w:val="ListParagraph"/>
        <w:numPr>
          <w:ilvl w:val="0"/>
          <w:numId w:val="2"/>
        </w:numPr>
        <w:spacing w:after="80" w:before="80"/>
      </w:pPr>
      <w:r>
        <w:rPr>
          <w:rFonts w:ascii="Arial" w:cs="Arial" w:eastAsia="Arial" w:hAnsi="Arial"/>
          <w:color w:val="1A1A2E"/>
          <w:sz w:val="22"/>
          <w:szCs w:val="22"/>
        </w:rPr>
        <w:t xml:space="preserve">To delete a step, click the trash icon on the right side of the step row.</w:t>
      </w:r>
    </w:p>
    <w:p>
      <w:pPr>
        <w:pStyle w:val="ListParagraph"/>
        <w:numPr>
          <w:ilvl w:val="0"/>
          <w:numId w:val="2"/>
        </w:numPr>
        <w:spacing w:after="80" w:before="80"/>
      </w:pPr>
      <w:r>
        <w:rPr>
          <w:rFonts w:ascii="Arial" w:cs="Arial" w:eastAsia="Arial" w:hAnsi="Arial"/>
          <w:color w:val="1A1A2E"/>
          <w:sz w:val="22"/>
          <w:szCs w:val="22"/>
        </w:rPr>
        <w:t xml:space="preserve">Click Save when finished.</w:t>
      </w:r>
    </w:p>
    <w:p>
      <w:pPr>
        <w:spacing w:after="60" w:before="60"/>
      </w:pPr>
    </w:p>
    <w:p>
      <w:pPr>
        <w:pBdr>
          <w:left w:val="single" w:color="F4A836" w:sz="14" w:space="6"/>
        </w:pBdr>
        <w:shd w:fill="FFF8E1" w:val="clear"/>
        <w:spacing w:after="0" w:before="120"/>
      </w:pPr>
      <w:r>
        <w:rPr>
          <w:rFonts w:ascii="Arial" w:cs="Arial" w:eastAsia="Arial" w:hAnsi="Arial"/>
          <w:b/>
          <w:bCs/>
          <w:color w:val="F4A836"/>
          <w:sz w:val="20"/>
          <w:szCs w:val="20"/>
        </w:rPr>
        <w:t xml:space="preserve">TIP:  </w:t>
      </w:r>
      <w:r>
        <w:rPr>
          <w:rFonts w:ascii="Arial" w:cs="Arial" w:eastAsia="Arial" w:hAnsi="Arial"/>
          <w:color w:val="1A1A2E"/>
          <w:sz w:val="20"/>
          <w:szCs w:val="20"/>
        </w:rPr>
        <w:t xml:space="preserve">Use the Record button at the top of the script editor to capture interactions from a live browser session. Recorded steps are automatically converted into script events.</w:t>
      </w:r>
    </w:p>
    <w:p>
      <w:pPr>
        <w:shd w:fill="FFF8E1" w:val="clear"/>
        <w:spacing w:after="120" w:before="0"/>
      </w:pPr>
    </w:p>
    <w:p>
      <w:pPr>
        <w:pStyle w:val="Heading2"/>
        <w:spacing w:after="120" w:before="240"/>
      </w:pPr>
      <w:r>
        <w:rPr>
          <w:rFonts w:ascii="Arial" w:cs="Arial" w:eastAsia="Arial" w:hAnsi="Arial"/>
          <w:b/>
          <w:bCs/>
          <w:color w:val="1A1A2E"/>
          <w:sz w:val="28"/>
          <w:szCs w:val="28"/>
        </w:rPr>
        <w:t xml:space="preserve">5.7  Managing Tags</w:t>
      </w:r>
    </w:p>
    <w:p>
      <w:pPr>
        <w:pStyle w:val="ListParagraph"/>
        <w:numPr>
          <w:ilvl w:val="0"/>
          <w:numId w:val="2"/>
        </w:numPr>
        <w:spacing w:after="80" w:before="80"/>
      </w:pPr>
      <w:r>
        <w:rPr>
          <w:rFonts w:ascii="Arial" w:cs="Arial" w:eastAsia="Arial" w:hAnsi="Arial"/>
          <w:color w:val="1A1A2E"/>
          <w:sz w:val="22"/>
          <w:szCs w:val="22"/>
        </w:rPr>
        <w:t xml:space="preserve">Open the monitor editor.</w:t>
      </w:r>
    </w:p>
    <w:p>
      <w:pPr>
        <w:pStyle w:val="ListParagraph"/>
        <w:numPr>
          <w:ilvl w:val="0"/>
          <w:numId w:val="2"/>
        </w:numPr>
        <w:spacing w:after="80" w:before="80"/>
      </w:pPr>
      <w:r>
        <w:rPr>
          <w:rFonts w:ascii="Arial" w:cs="Arial" w:eastAsia="Arial" w:hAnsi="Arial"/>
          <w:color w:val="1A1A2E"/>
          <w:sz w:val="22"/>
          <w:szCs w:val="22"/>
        </w:rPr>
        <w:t xml:space="preserve">Scroll to the Tags section at the bottom of the Settings tab.</w:t>
      </w:r>
    </w:p>
    <w:p>
      <w:pPr>
        <w:pStyle w:val="ListParagraph"/>
        <w:numPr>
          <w:ilvl w:val="0"/>
          <w:numId w:val="2"/>
        </w:numPr>
        <w:spacing w:after="80" w:before="80"/>
      </w:pPr>
      <w:r>
        <w:rPr>
          <w:rFonts w:ascii="Arial" w:cs="Arial" w:eastAsia="Arial" w:hAnsi="Arial"/>
          <w:color w:val="1A1A2E"/>
          <w:sz w:val="22"/>
          <w:szCs w:val="22"/>
        </w:rPr>
        <w:t xml:space="preserve">To add a tag, click Add tag and type the desired label. Press Enter to confirm.</w:t>
      </w:r>
    </w:p>
    <w:p>
      <w:pPr>
        <w:pStyle w:val="ListParagraph"/>
        <w:numPr>
          <w:ilvl w:val="0"/>
          <w:numId w:val="2"/>
        </w:numPr>
        <w:spacing w:after="80" w:before="80"/>
      </w:pPr>
      <w:r>
        <w:rPr>
          <w:rFonts w:ascii="Arial" w:cs="Arial" w:eastAsia="Arial" w:hAnsi="Arial"/>
          <w:color w:val="1A1A2E"/>
          <w:sz w:val="22"/>
          <w:szCs w:val="22"/>
        </w:rPr>
        <w:t xml:space="preserve">To remove a tag, click the X next to the tag name.</w:t>
      </w:r>
    </w:p>
    <w:p>
      <w:pPr>
        <w:pStyle w:val="ListParagraph"/>
        <w:numPr>
          <w:ilvl w:val="0"/>
          <w:numId w:val="2"/>
        </w:numPr>
        <w:spacing w:after="80" w:before="80"/>
      </w:pPr>
      <w:r>
        <w:rPr>
          <w:rFonts w:ascii="Arial" w:cs="Arial" w:eastAsia="Arial" w:hAnsi="Arial"/>
          <w:color w:val="1A1A2E"/>
          <w:sz w:val="22"/>
          <w:szCs w:val="22"/>
        </w:rPr>
        <w:t xml:space="preserve">Click Save.</w:t>
      </w:r>
    </w:p>
    <w:p>
      <w:pPr>
        <w:spacing w:after="60" w:before="60"/>
      </w:pPr>
    </w:p>
    <w:p>
      <w:pPr>
        <w:pStyle w:val="Heading2"/>
        <w:spacing w:after="120" w:before="240"/>
      </w:pPr>
      <w:r>
        <w:rPr>
          <w:rFonts w:ascii="Arial" w:cs="Arial" w:eastAsia="Arial" w:hAnsi="Arial"/>
          <w:b/>
          <w:bCs/>
          <w:color w:val="1A1A2E"/>
          <w:sz w:val="28"/>
          <w:szCs w:val="28"/>
        </w:rPr>
        <w:t xml:space="preserve">5.8  Assigning or Changing the Application</w:t>
      </w:r>
    </w:p>
    <w:p>
      <w:pPr>
        <w:pStyle w:val="ListParagraph"/>
        <w:numPr>
          <w:ilvl w:val="0"/>
          <w:numId w:val="2"/>
        </w:numPr>
        <w:spacing w:after="80" w:before="80"/>
      </w:pPr>
      <w:r>
        <w:rPr>
          <w:rFonts w:ascii="Arial" w:cs="Arial" w:eastAsia="Arial" w:hAnsi="Arial"/>
          <w:color w:val="1A1A2E"/>
          <w:sz w:val="22"/>
          <w:szCs w:val="22"/>
        </w:rPr>
        <w:t xml:space="preserve">Open the monitor editor.</w:t>
      </w:r>
    </w:p>
    <w:p>
      <w:pPr>
        <w:pStyle w:val="ListParagraph"/>
        <w:numPr>
          <w:ilvl w:val="0"/>
          <w:numId w:val="2"/>
        </w:numPr>
        <w:spacing w:after="80" w:before="80"/>
      </w:pPr>
      <w:r>
        <w:rPr>
          <w:rFonts w:ascii="Arial" w:cs="Arial" w:eastAsia="Arial" w:hAnsi="Arial"/>
          <w:color w:val="1A1A2E"/>
          <w:sz w:val="22"/>
          <w:szCs w:val="22"/>
        </w:rPr>
        <w:t xml:space="preserve">Navigate to the Settings tab.</w:t>
      </w:r>
    </w:p>
    <w:p>
      <w:pPr>
        <w:pStyle w:val="ListParagraph"/>
        <w:numPr>
          <w:ilvl w:val="0"/>
          <w:numId w:val="2"/>
        </w:numPr>
        <w:spacing w:after="80" w:before="80"/>
      </w:pPr>
      <w:r>
        <w:rPr>
          <w:rFonts w:ascii="Arial" w:cs="Arial" w:eastAsia="Arial" w:hAnsi="Arial"/>
          <w:color w:val="1A1A2E"/>
          <w:sz w:val="22"/>
          <w:szCs w:val="22"/>
        </w:rPr>
        <w:t xml:space="preserve">Under Linked applications, click the search field.</w:t>
      </w:r>
    </w:p>
    <w:p>
      <w:pPr>
        <w:pStyle w:val="ListParagraph"/>
        <w:numPr>
          <w:ilvl w:val="0"/>
          <w:numId w:val="2"/>
        </w:numPr>
        <w:spacing w:after="80" w:before="80"/>
      </w:pPr>
      <w:r>
        <w:rPr>
          <w:rFonts w:ascii="Arial" w:cs="Arial" w:eastAsia="Arial" w:hAnsi="Arial"/>
          <w:color w:val="1A1A2E"/>
          <w:sz w:val="22"/>
          <w:szCs w:val="22"/>
        </w:rPr>
        <w:t xml:space="preserve">Search for the application by name. Select it to create the association.</w:t>
      </w:r>
    </w:p>
    <w:p>
      <w:pPr>
        <w:pStyle w:val="ListParagraph"/>
        <w:numPr>
          <w:ilvl w:val="0"/>
          <w:numId w:val="2"/>
        </w:numPr>
        <w:spacing w:after="80" w:before="80"/>
      </w:pPr>
      <w:r>
        <w:rPr>
          <w:rFonts w:ascii="Arial" w:cs="Arial" w:eastAsia="Arial" w:hAnsi="Arial"/>
          <w:color w:val="1A1A2E"/>
          <w:sz w:val="22"/>
          <w:szCs w:val="22"/>
        </w:rPr>
        <w:t xml:space="preserve">To remove the existing application link, click the X next to the current application entry.</w:t>
      </w:r>
    </w:p>
    <w:p>
      <w:pPr>
        <w:pStyle w:val="ListParagraph"/>
        <w:numPr>
          <w:ilvl w:val="0"/>
          <w:numId w:val="2"/>
        </w:numPr>
        <w:spacing w:after="80" w:before="80"/>
      </w:pPr>
      <w:r>
        <w:rPr>
          <w:rFonts w:ascii="Arial" w:cs="Arial" w:eastAsia="Arial" w:hAnsi="Arial"/>
          <w:color w:val="1A1A2E"/>
          <w:sz w:val="22"/>
          <w:szCs w:val="22"/>
        </w:rPr>
        <w:t xml:space="preserve">Click Save.</w:t>
      </w:r>
    </w:p>
    <w:p>
      <w:pPr>
        <w:spacing w:after="60" w:before="60"/>
      </w:pPr>
    </w:p>
    <w:p>
      <w:pPr>
        <w:pStyle w:val="Heading2"/>
        <w:spacing w:after="120" w:before="240"/>
      </w:pPr>
      <w:r>
        <w:rPr>
          <w:rFonts w:ascii="Arial" w:cs="Arial" w:eastAsia="Arial" w:hAnsi="Arial"/>
          <w:b/>
          <w:bCs/>
          <w:color w:val="1A1A2E"/>
          <w:sz w:val="28"/>
          <w:szCs w:val="28"/>
        </w:rPr>
        <w:t xml:space="preserve">5.9  Enabling and Disabling the Monitor</w:t>
      </w:r>
    </w:p>
    <w:p>
      <w:pPr>
        <w:spacing w:after="120" w:before="120"/>
        <w:jc w:val="left"/>
      </w:pPr>
      <w:r>
        <w:rPr>
          <w:rFonts w:ascii="Arial" w:cs="Arial" w:eastAsia="Arial" w:hAnsi="Arial"/>
          <w:b w:val="false"/>
          <w:bCs w:val="false"/>
          <w:color w:val="1A1A2E"/>
          <w:sz w:val="22"/>
          <w:szCs w:val="22"/>
        </w:rPr>
        <w:t xml:space="preserve">A monitor can be paused without deleting it. This is useful during maintenance windows or to temporarily stop alerting.</w:t>
      </w:r>
    </w:p>
    <w:p>
      <w:pPr>
        <w:spacing w:after="60" w:before="60"/>
      </w:pPr>
    </w:p>
    <w:p>
      <w:pPr>
        <w:pStyle w:val="ListParagraph"/>
        <w:numPr>
          <w:ilvl w:val="0"/>
          <w:numId w:val="2"/>
        </w:numPr>
        <w:spacing w:after="80" w:before="80"/>
      </w:pPr>
      <w:r>
        <w:rPr>
          <w:rFonts w:ascii="Arial" w:cs="Arial" w:eastAsia="Arial" w:hAnsi="Arial"/>
          <w:color w:val="1A1A2E"/>
          <w:sz w:val="22"/>
          <w:szCs w:val="22"/>
        </w:rPr>
        <w:t xml:space="preserve">Open the monitor detail view (without entering the editor).</w:t>
      </w:r>
    </w:p>
    <w:p>
      <w:pPr>
        <w:pStyle w:val="ListParagraph"/>
        <w:numPr>
          <w:ilvl w:val="0"/>
          <w:numId w:val="2"/>
        </w:numPr>
        <w:spacing w:after="80" w:before="80"/>
      </w:pPr>
      <w:r>
        <w:rPr>
          <w:rFonts w:ascii="Arial" w:cs="Arial" w:eastAsia="Arial" w:hAnsi="Arial"/>
          <w:color w:val="1A1A2E"/>
          <w:sz w:val="22"/>
          <w:szCs w:val="22"/>
        </w:rPr>
        <w:t xml:space="preserve">Use the Enabled / Disabled toggle in the top-right area of the page.</w:t>
      </w:r>
    </w:p>
    <w:p>
      <w:pPr>
        <w:pStyle w:val="ListParagraph"/>
        <w:numPr>
          <w:ilvl w:val="0"/>
          <w:numId w:val="2"/>
        </w:numPr>
        <w:spacing w:after="80" w:before="80"/>
      </w:pPr>
      <w:r>
        <w:rPr>
          <w:rFonts w:ascii="Arial" w:cs="Arial" w:eastAsia="Arial" w:hAnsi="Arial"/>
          <w:color w:val="1A1A2E"/>
          <w:sz w:val="22"/>
          <w:szCs w:val="22"/>
        </w:rPr>
        <w:t xml:space="preserve">The monitor stops executing immediately when disabled and resumes on the next scheduled interval when re-enabled.</w:t>
      </w:r>
    </w:p>
    <w:p>
      <w:pPr>
        <w:spacing w:after="60" w:before="60"/>
      </w:pPr>
    </w:p>
    <w:p>
      <w:pPr>
        <w:pBdr>
          <w:left w:val="single" w:color="F4A836" w:sz="14" w:space="6"/>
        </w:pBdr>
        <w:shd w:fill="FFF8E1" w:val="clear"/>
        <w:spacing w:after="0" w:before="120"/>
      </w:pPr>
      <w:r>
        <w:rPr>
          <w:rFonts w:ascii="Arial" w:cs="Arial" w:eastAsia="Arial" w:hAnsi="Arial"/>
          <w:b/>
          <w:bCs/>
          <w:color w:val="F4A836"/>
          <w:sz w:val="20"/>
          <w:szCs w:val="20"/>
        </w:rPr>
        <w:t xml:space="preserve">NOTE:  </w:t>
      </w:r>
      <w:r>
        <w:rPr>
          <w:rFonts w:ascii="Arial" w:cs="Arial" w:eastAsia="Arial" w:hAnsi="Arial"/>
          <w:color w:val="1A1A2E"/>
          <w:sz w:val="20"/>
          <w:szCs w:val="20"/>
        </w:rPr>
        <w:t xml:space="preserve">Disabling a monitor does not affect historical data. All past execution results remain visible in the execution history.</w:t>
      </w:r>
    </w:p>
    <w:p>
      <w:pPr>
        <w:shd w:fill="FFF8E1" w:val="clear"/>
        <w:spacing w:after="120" w:before="0"/>
      </w:pPr>
    </w:p>
    <w:p>
      <w:r>
        <w:br w:type="page"/>
      </w:r>
    </w:p>
    <w:p>
      <w:pPr>
        <w:pStyle w:val="Heading1"/>
        <w:pBdr>
          <w:bottom w:val="single" w:color="6E2FA0" w:sz="6" w:space="4"/>
        </w:pBdr>
        <w:spacing w:after="160" w:before="320"/>
      </w:pPr>
      <w:r>
        <w:rPr>
          <w:rFonts w:ascii="Arial" w:cs="Arial" w:eastAsia="Arial" w:hAnsi="Arial"/>
          <w:b/>
          <w:bCs/>
          <w:color w:val="6E2FA0"/>
          <w:sz w:val="36"/>
          <w:szCs w:val="36"/>
        </w:rPr>
        <w:t xml:space="preserve">6. Troubleshooting</w:t>
      </w:r>
    </w:p>
    <w:p>
      <w:pPr>
        <w:pStyle w:val="Heading2"/>
        <w:spacing w:after="120" w:before="240"/>
      </w:pPr>
      <w:r>
        <w:rPr>
          <w:rFonts w:ascii="Arial" w:cs="Arial" w:eastAsia="Arial" w:hAnsi="Arial"/>
          <w:b/>
          <w:bCs/>
          <w:color w:val="1A1A2E"/>
          <w:sz w:val="28"/>
          <w:szCs w:val="28"/>
        </w:rPr>
        <w:t xml:space="preserve">6.1  Workflow Execution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Symptom</w:t>
            </w:r>
          </w:p>
        </w:tc>
        <w:tc>
          <w:tcPr>
            <w:tcW w:type="dxa" w:w="28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Likely Cause</w:t>
            </w:r>
          </w:p>
        </w:tc>
        <w:tc>
          <w:tcPr>
            <w:tcW w:type="dxa" w:w="396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Resolution</w:t>
            </w:r>
          </w:p>
        </w:tc>
      </w:tr>
      <w:tr>
        <w:tc>
          <w:tcPr>
            <w:tcW w:type="dxa" w:w="26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validate_inputs fails: "monitorName is not set"</w:t>
            </w:r>
          </w:p>
        </w:tc>
        <w:tc>
          <w:tcPr>
            <w:tcW w:type="dxa" w:w="28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The workflow variable monitorName is empty or was cleared.</w:t>
            </w:r>
          </w:p>
        </w:tc>
        <w:tc>
          <w:tcPr>
            <w:tcW w:type="dxa" w:w="39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Open the workflow editor &gt; Variables panel. Set monitorName to a non-empty string and save.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validate_inputs fails: "Missing required parameters"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One or more execution parameters (targetUrl, frequencyMin, locationIds, applicationId) were not supplied.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Ensure all required CLI flags or Kubernetes env vars are set before triggering the execution.</w:t>
            </w:r>
          </w:p>
        </w:tc>
      </w:tr>
      <w:tr>
        <w:tc>
          <w:tcPr>
            <w:tcW w:type="dxa" w:w="26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create_synthetic_monitor fails: HTTP 401</w:t>
            </w:r>
          </w:p>
        </w:tc>
        <w:tc>
          <w:tcPr>
            <w:tcW w:type="dxa" w:w="28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The DT_API_TOKEN is missing, expired, or lacks the required scopes.</w:t>
            </w:r>
          </w:p>
        </w:tc>
        <w:tc>
          <w:tcPr>
            <w:tcW w:type="dxa" w:w="39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Create a new token with ExternalSyntheticIntegration and WriteConfig scopes. Update the Secret or env var.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create_synthetic_monitor fails: HTTP 400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The request body is malformed or contains an invalid location/application entity 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Verify location IDs with GET /api/v1/synthetic/locations and application ID in the Applications UI.</w:t>
            </w:r>
          </w:p>
        </w:tc>
      </w:tr>
      <w:tr>
        <w:tc>
          <w:tcPr>
            <w:tcW w:type="dxa" w:w="26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create_synthetic_monitor fails: HTTP 403</w:t>
            </w:r>
          </w:p>
        </w:tc>
        <w:tc>
          <w:tcPr>
            <w:tcW w:type="dxa" w:w="28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The API token does not have permission to create synthetic monitors.</w:t>
            </w:r>
          </w:p>
        </w:tc>
        <w:tc>
          <w:tcPr>
            <w:tcW w:type="dxa" w:w="39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Add the ExternalSyntheticIntegration scope to the token.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Execution times out (status=TIMEOUT)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The poll timeout expired before the workflow reached a terminal state.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Increase -timeout-sec (CLI) or check the Dynatrace Automations execution log for stuck tasks.</w:t>
            </w:r>
          </w:p>
        </w:tc>
      </w:tr>
    </w:tbl>
    <w:p>
      <w:pPr>
        <w:spacing w:after="60" w:before="60"/>
      </w:pPr>
    </w:p>
    <w:p>
      <w:pPr>
        <w:pStyle w:val="Heading2"/>
        <w:spacing w:after="120" w:before="240"/>
      </w:pPr>
      <w:r>
        <w:rPr>
          <w:rFonts w:ascii="Arial" w:cs="Arial" w:eastAsia="Arial" w:hAnsi="Arial"/>
          <w:b/>
          <w:bCs/>
          <w:color w:val="1A1A2E"/>
          <w:sz w:val="28"/>
          <w:szCs w:val="28"/>
        </w:rPr>
        <w:t xml:space="preserve">6.2  Kubernetes Job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Symptom</w:t>
            </w:r>
          </w:p>
        </w:tc>
        <w:tc>
          <w:tcPr>
            <w:tcW w:type="dxa" w:w="576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Resolution</w:t>
            </w:r>
          </w:p>
        </w:tc>
      </w:tr>
      <w:tr>
        <w:tc>
          <w:tcPr>
            <w:tcW w:type="dxa" w:w="36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Init container (build) fails with "go: command not found"</w:t>
            </w:r>
          </w:p>
        </w:tc>
        <w:tc>
          <w:tcPr>
            <w:tcW w:type="dxa" w:w="57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The golang:1.21-alpine image was not pulled. Check AKS node internet egress and ACR pull permissions.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Main container exits with "open workflow file: no such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The ConfigMap volume was not mounted correctly. Run: kubectl describe pod -n dynatrace-ops &lt;pod-name&gt; and verify volumeMounts.</w:t>
            </w:r>
          </w:p>
        </w:tc>
      </w:tr>
      <w:tr>
        <w:tc>
          <w:tcPr>
            <w:tcW w:type="dxa" w:w="36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Pod stuck in Pending state</w:t>
            </w:r>
          </w:p>
        </w:tc>
        <w:tc>
          <w:tcPr>
            <w:tcW w:type="dxa" w:w="57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Insufficient cluster resources. Check: kubectl describe node and kubectl describe quota -n dynatrace-ops.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Secret values not decoded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The Secret data values must be base64-encoded. Re-encode with echo -n "value" | base64 and patch the Secret.</w:t>
            </w:r>
          </w:p>
        </w:tc>
      </w:tr>
    </w:tbl>
    <w:p>
      <w:pPr>
        <w:spacing w:after="60" w:before="60"/>
      </w:pPr>
    </w:p>
    <w:p>
      <w:pPr>
        <w:pStyle w:val="Heading2"/>
        <w:spacing w:after="120" w:before="240"/>
      </w:pPr>
      <w:r>
        <w:rPr>
          <w:rFonts w:ascii="Arial" w:cs="Arial" w:eastAsia="Arial" w:hAnsi="Arial"/>
          <w:b/>
          <w:bCs/>
          <w:color w:val="1A1A2E"/>
          <w:sz w:val="28"/>
          <w:szCs w:val="28"/>
        </w:rPr>
        <w:t xml:space="preserve">6.3  Viewing Workflow Execution Logs</w:t>
      </w:r>
    </w:p>
    <w:p>
      <w:pPr>
        <w:pStyle w:val="ListParagraph"/>
        <w:numPr>
          <w:ilvl w:val="0"/>
          <w:numId w:val="2"/>
        </w:numPr>
        <w:spacing w:after="80" w:before="80"/>
      </w:pPr>
      <w:r>
        <w:rPr>
          <w:rFonts w:ascii="Arial" w:cs="Arial" w:eastAsia="Arial" w:hAnsi="Arial"/>
          <w:color w:val="1A1A2E"/>
          <w:sz w:val="22"/>
          <w:szCs w:val="22"/>
        </w:rPr>
        <w:t xml:space="preserve">Open Automations in the Dynatrace UI.</w:t>
      </w:r>
    </w:p>
    <w:p>
      <w:pPr>
        <w:pStyle w:val="ListParagraph"/>
        <w:numPr>
          <w:ilvl w:val="0"/>
          <w:numId w:val="2"/>
        </w:numPr>
        <w:spacing w:after="80" w:before="80"/>
      </w:pPr>
      <w:r>
        <w:rPr>
          <w:rFonts w:ascii="Arial" w:cs="Arial" w:eastAsia="Arial" w:hAnsi="Arial"/>
          <w:color w:val="1A1A2E"/>
          <w:sz w:val="22"/>
          <w:szCs w:val="22"/>
        </w:rPr>
        <w:t xml:space="preserve">Click the three-dot menu on the "Create Synthetic Browser Monitor" workflow.</w:t>
      </w:r>
    </w:p>
    <w:p>
      <w:pPr>
        <w:pStyle w:val="ListParagraph"/>
        <w:numPr>
          <w:ilvl w:val="0"/>
          <w:numId w:val="2"/>
        </w:numPr>
        <w:spacing w:after="80" w:before="80"/>
      </w:pPr>
      <w:r>
        <w:rPr>
          <w:rFonts w:ascii="Arial" w:cs="Arial" w:eastAsia="Arial" w:hAnsi="Arial"/>
          <w:color w:val="1A1A2E"/>
          <w:sz w:val="22"/>
          <w:szCs w:val="22"/>
        </w:rPr>
        <w:t xml:space="preserve">Select Execution history.</w:t>
      </w:r>
    </w:p>
    <w:p>
      <w:pPr>
        <w:pStyle w:val="ListParagraph"/>
        <w:numPr>
          <w:ilvl w:val="0"/>
          <w:numId w:val="2"/>
        </w:numPr>
        <w:spacing w:after="80" w:before="80"/>
      </w:pPr>
      <w:r>
        <w:rPr>
          <w:rFonts w:ascii="Arial" w:cs="Arial" w:eastAsia="Arial" w:hAnsi="Arial"/>
          <w:color w:val="1A1A2E"/>
          <w:sz w:val="22"/>
          <w:szCs w:val="22"/>
        </w:rPr>
        <w:t xml:space="preserve">Click a specific execution to open its detail view.</w:t>
      </w:r>
    </w:p>
    <w:p>
      <w:pPr>
        <w:pStyle w:val="ListParagraph"/>
        <w:numPr>
          <w:ilvl w:val="0"/>
          <w:numId w:val="2"/>
        </w:numPr>
        <w:spacing w:after="80" w:before="80"/>
      </w:pPr>
      <w:r>
        <w:rPr>
          <w:rFonts w:ascii="Arial" w:cs="Arial" w:eastAsia="Arial" w:hAnsi="Arial"/>
          <w:color w:val="1A1A2E"/>
          <w:sz w:val="22"/>
          <w:szCs w:val="22"/>
        </w:rPr>
        <w:t xml:space="preserve">Click any task name to expand its log output. The handle_error task will show which upstream task failed and the associated API error message if applicable.</w:t>
      </w:r>
    </w:p>
    <w:p>
      <w:pPr>
        <w:spacing w:after="60" w:before="60"/>
      </w:pPr>
    </w:p>
    <w:p>
      <w:r>
        <w:br w:type="page"/>
      </w:r>
    </w:p>
    <w:p>
      <w:pPr>
        <w:pStyle w:val="Heading1"/>
        <w:pBdr>
          <w:bottom w:val="single" w:color="6E2FA0" w:sz="6" w:space="4"/>
        </w:pBdr>
        <w:spacing w:after="160" w:before="320"/>
      </w:pPr>
      <w:r>
        <w:rPr>
          <w:rFonts w:ascii="Arial" w:cs="Arial" w:eastAsia="Arial" w:hAnsi="Arial"/>
          <w:b/>
          <w:bCs/>
          <w:color w:val="6E2FA0"/>
          <w:sz w:val="36"/>
          <w:szCs w:val="36"/>
        </w:rPr>
        <w:t xml:space="preserve">7. Quick Reference</w:t>
      </w:r>
    </w:p>
    <w:p>
      <w:pPr>
        <w:pStyle w:val="Heading2"/>
        <w:spacing w:after="120" w:before="240"/>
      </w:pPr>
      <w:r>
        <w:rPr>
          <w:rFonts w:ascii="Arial" w:cs="Arial" w:eastAsia="Arial" w:hAnsi="Arial"/>
          <w:b/>
          <w:bCs/>
          <w:color w:val="1A1A2E"/>
          <w:sz w:val="28"/>
          <w:szCs w:val="28"/>
        </w:rPr>
        <w:t xml:space="preserve">7.1  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rPr>
          <w:tblHeader/>
        </w:trPr>
        <w:tc>
          <w:tcPr>
            <w:tcW w:type="dxa" w:w="10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Method</w:t>
            </w:r>
          </w:p>
        </w:tc>
        <w:tc>
          <w:tcPr>
            <w:tcW w:type="dxa" w:w="42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Endpoint</w:t>
            </w:r>
          </w:p>
        </w:tc>
        <w:tc>
          <w:tcPr>
            <w:tcW w:type="dxa" w:w="416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GET</w:t>
            </w:r>
          </w:p>
        </w:tc>
        <w:tc>
          <w:tcPr>
            <w:tcW w:type="dxa" w:w="42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/platform/classic/environment-api/v2/workflows</w:t>
            </w:r>
          </w:p>
        </w:tc>
        <w:tc>
          <w:tcPr>
            <w:tcW w:type="dxa" w:w="41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List existing workflows (upsert check).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POST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/platform/classic/environment-api/v2/workflows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Create a new workflow.</w:t>
            </w:r>
          </w:p>
        </w:tc>
      </w:tr>
      <w:tr>
        <w:tc>
          <w:tcPr>
            <w:tcW w:type="dxa" w:w="10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PUT</w:t>
            </w:r>
          </w:p>
        </w:tc>
        <w:tc>
          <w:tcPr>
            <w:tcW w:type="dxa" w:w="42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/platform/classic/environment-api/v2/workflows/{id}</w:t>
            </w:r>
          </w:p>
        </w:tc>
        <w:tc>
          <w:tcPr>
            <w:tcW w:type="dxa" w:w="41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Update an existing workflow.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POST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/platform/classic/environment-api/v2/workflows/{id}/run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Trigger a manual workflow execution.</w:t>
            </w:r>
          </w:p>
        </w:tc>
      </w:tr>
      <w:tr>
        <w:tc>
          <w:tcPr>
            <w:tcW w:type="dxa" w:w="10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GET</w:t>
            </w:r>
          </w:p>
        </w:tc>
        <w:tc>
          <w:tcPr>
            <w:tcW w:type="dxa" w:w="42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/platform/classic/environment-api/v2/workflows/{id}/executions/{execId}</w:t>
            </w:r>
          </w:p>
        </w:tc>
        <w:tc>
          <w:tcPr>
            <w:tcW w:type="dxa" w:w="41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Poll execution 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POST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/api/v1/synthetic/monitors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Create the synthetic browser monitor (called inside the workflow).</w:t>
            </w:r>
          </w:p>
        </w:tc>
      </w:tr>
    </w:tbl>
    <w:p>
      <w:pPr>
        <w:spacing w:after="60" w:before="60"/>
      </w:pPr>
    </w:p>
    <w:p>
      <w:pPr>
        <w:pStyle w:val="Heading2"/>
        <w:spacing w:after="120" w:before="240"/>
      </w:pPr>
      <w:r>
        <w:rPr>
          <w:rFonts w:ascii="Arial" w:cs="Arial" w:eastAsia="Arial" w:hAnsi="Arial"/>
          <w:b/>
          <w:bCs/>
          <w:color w:val="1A1A2E"/>
          <w:sz w:val="28"/>
          <w:szCs w:val="28"/>
        </w:rPr>
        <w:t xml:space="preserve">7.2  Monitor Entity ID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6860"/>
            <w:tcBorders>
              <w:top w:val="single" w:color="6E2FA0" w:sz="1"/>
              <w:left w:val="single" w:color="6E2FA0" w:sz="1"/>
              <w:bottom w:val="single" w:color="6E2FA0" w:sz="1"/>
              <w:right w:val="single" w:color="6E2FA0" w:sz="1"/>
            </w:tcBorders>
            <w:shd w:fill="6E2FA0"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Synthetic test</w:t>
            </w:r>
          </w:p>
        </w:tc>
        <w:tc>
          <w:tcPr>
            <w:tcW w:type="dxa" w:w="68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SYNTHETIC_TEST-XXXXXXXXXXXXXXXX — returned in the entityId field of the workflow verify_and_log_result 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Geolocation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GEOLOCATION-XXXXXXXXXXXXXXXX — used in locationIds parameter.</w:t>
            </w:r>
          </w:p>
        </w:tc>
      </w:tr>
      <w:tr>
        <w:tc>
          <w:tcPr>
            <w:tcW w:type="dxa" w:w="250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Synthetic location</w:t>
            </w:r>
          </w:p>
        </w:tc>
        <w:tc>
          <w:tcPr>
            <w:tcW w:type="dxa" w:w="6860"/>
            <w:tcBorders>
              <w:top w:val="single" w:color="CCCCCC" w:sz="1"/>
              <w:left w:val="single" w:color="CCCCCC" w:sz="1"/>
              <w:bottom w:val="single" w:color="CCCCCC" w:sz="1"/>
              <w:right w:val="single" w:color="CCCCCC" w:sz="1"/>
            </w:tcBorders>
            <w:shd w:fill="F4EF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SYNTHETIC_LOCATION-XXXXXXXXXXXXXXXX — used in locationIds parameter for private locations.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Application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APPLICATION-XXXXXXXXXXXXXXXX — used in applicationId parameter.</w:t>
            </w:r>
          </w:p>
        </w:tc>
      </w:tr>
    </w:tbl>
    <w:p>
      <w:pPr>
        <w:spacing w:after="60" w:before="60"/>
      </w:pPr>
    </w:p>
    <w:p>
      <w:pPr>
        <w:pStyle w:val="Heading2"/>
        <w:spacing w:after="120" w:before="240"/>
      </w:pPr>
      <w:r>
        <w:rPr>
          <w:rFonts w:ascii="Arial" w:cs="Arial" w:eastAsia="Arial" w:hAnsi="Arial"/>
          <w:b/>
          <w:bCs/>
          <w:color w:val="1A1A2E"/>
          <w:sz w:val="28"/>
          <w:szCs w:val="28"/>
        </w:rPr>
        <w:t xml:space="preserve">7.3  Minimum CLI Command</w:t>
      </w:r>
    </w:p>
    <w:p>
      <w:pPr>
        <w:spacing w:after="120" w:before="120"/>
        <w:jc w:val="left"/>
      </w:pPr>
      <w:r>
        <w:rPr>
          <w:rFonts w:ascii="Arial" w:cs="Arial" w:eastAsia="Arial" w:hAnsi="Arial"/>
          <w:b w:val="false"/>
          <w:bCs w:val="false"/>
          <w:color w:val="1A1A2E"/>
          <w:sz w:val="22"/>
          <w:szCs w:val="22"/>
        </w:rPr>
        <w:t xml:space="preserve">The shortest valid invocation requires exactly five flags plus credentials:</w:t>
      </w:r>
    </w:p>
    <w:p>
      <w:pPr>
        <w:spacing w:after="60" w:before="60"/>
      </w:pP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export DT_TENANT_URL="https://abc12345.live.dynatrace.com"</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export DT_API_TOKEN="dt0c01.YOUR_TOKEN"</w:t>
      </w:r>
    </w:p>
    <w:p>
      <w:pPr>
        <w:spacing w:after="60" w:before="60"/>
      </w:pP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./workflow-submitter \</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  -name      "My Monitor"              \</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  -url       "https://example.com"     \</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  -freq      5                          \</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  -locations "GEOLOCATION-XXXXXXXXXXXXXXXXX" \</w:t>
      </w:r>
    </w:p>
    <w:p>
      <w:pPr>
        <w:pBdr>
          <w:left w:val="single" w:color="6E2FA0" w:sz="12" w:space="6"/>
        </w:pBdr>
        <w:shd w:fill="F5F5F5" w:val="clear"/>
        <w:spacing w:after="40" w:before="40"/>
      </w:pPr>
      <w:r>
        <w:rPr>
          <w:rFonts w:ascii="Courier New" w:cs="Courier New" w:eastAsia="Courier New" w:hAnsi="Courier New"/>
          <w:color w:val="1A1A2E"/>
          <w:sz w:val="18"/>
          <w:szCs w:val="18"/>
        </w:rPr>
        <w:t xml:space="preserve">  -app-id    "APPLICATION-XXXXXXXXXXXXXXXXX"</w:t>
      </w:r>
    </w:p>
    <w:p>
      <w:pPr>
        <w:spacing w:after="60" w:before="60"/>
      </w:pPr>
    </w:p>
    <w:p>
      <w:pPr>
        <w:spacing w:after="60" w:before="60"/>
      </w:pPr>
    </w:p>
    <w:p>
      <w:pPr>
        <w:pBdr>
          <w:top w:val="single" w:color="6E2FA0" w:sz="4" w:space="8"/>
        </w:pBdr>
        <w:spacing w:before="480"/>
        <w:jc w:val="center"/>
      </w:pPr>
      <w:r>
        <w:rPr>
          <w:rFonts w:ascii="Arial" w:cs="Arial" w:eastAsia="Arial" w:hAnsi="Arial"/>
          <w:i/>
          <w:iCs/>
          <w:color w:val="555555"/>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E2FA0" w:sz="4" w:space="4"/>
      </w:pBdr>
      <w:tabs>
        <w:tab w:val="right" w:pos="9026"/>
      </w:tabs>
      <w:spacing w:after="0" w:before="120"/>
    </w:pPr>
    <w:r>
      <w:rPr>
        <w:rFonts w:ascii="Arial" w:cs="Arial" w:eastAsia="Arial" w:hAnsi="Arial"/>
        <w:color w:val="555555"/>
        <w:sz w:val="18"/>
        <w:szCs w:val="18"/>
      </w:rPr>
      <w:t xml:space="preserve">Internal Use</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E2FA0" w:sz="6" w:space="4"/>
      </w:pBdr>
      <w:tabs>
        <w:tab w:val="right" w:pos="9026"/>
      </w:tabs>
      <w:spacing w:after="120" w:before="0"/>
    </w:pPr>
    <w:r>
      <w:rPr>
        <w:rFonts w:ascii="Arial" w:cs="Arial" w:eastAsia="Arial" w:hAnsi="Arial"/>
        <w:color w:val="555555"/>
        <w:sz w:val="18"/>
        <w:szCs w:val="18"/>
      </w:rPr>
      <w:t xml:space="preserve">Dynatrace Workflow</w:t>
    </w:r>
    <w:r>
      <w:rPr>
        <w:rFonts w:ascii="Arial" w:cs="Arial" w:eastAsia="Arial" w:hAnsi="Arial"/>
        <w:color w:val="6E2FA0"/>
        <w:sz w:val="18"/>
        <w:szCs w:val="18"/>
      </w:rPr>
      <w:t xml:space="preserve">	Create Synthetic Browser Monitor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6E2FA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2026-04-21T14:09:33.962Z</dcterms:created>
  <dcterms:modified xsi:type="dcterms:W3CDTF">2026-04-21T14:09:33.963Z</dcterms:modified>
</cp:coreProperties>
</file>

<file path=docProps/custom.xml><?xml version="1.0" encoding="utf-8"?>
<Properties xmlns="http://schemas.openxmlformats.org/officeDocument/2006/custom-properties" xmlns:vt="http://schemas.openxmlformats.org/officeDocument/2006/docPropsVTypes"/>
</file>