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D8C6A"/>
          <w:sz w:val="72"/>
          <w:szCs w:val="72"/>
        </w:rPr>
        <w:t xml:space="preserve">RigPro3</w:t>
      </w:r>
    </w:p>
    <w:p>
      <w:pPr>
        <w:spacing w:before="0" w:after="120"/>
      </w:pPr>
      <w:r>
        <w:rPr>
          <w:rFonts w:ascii="Arial" w:cs="Arial" w:eastAsia="Arial" w:hAnsi="Arial"/>
          <w:b/>
          <w:bCs/>
          <w:color w:val="1A2332"/>
          <w:sz w:val="40"/>
          <w:szCs w:val="40"/>
        </w:rPr>
        <w:t xml:space="preserve">Investor Valuation Analysis</w:t>
      </w:r>
    </w:p>
    <w:p>
      <w:pPr>
        <w:spacing w:before="0" w:after="80"/>
      </w:pPr>
      <w:r>
        <w:rPr>
          <w:rFonts w:ascii="Arial" w:cs="Arial" w:eastAsia="Arial" w:hAnsi="Arial"/>
          <w:color w:val="4A5568"/>
          <w:sz w:val="24"/>
          <w:szCs w:val="24"/>
        </w:rPr>
        <w:t xml:space="preserve">Construction Estimating &amp; CRM Software for Crane, Rigging &amp; Heavy Haul</w:t>
      </w:r>
    </w:p>
    <w:p>
      <w:pPr>
        <w:pBdr>
          <w:bottom w:val="single" w:color="0D8C6A" w:sz="6" w:space="6"/>
        </w:pBdr>
        <w:spacing w:before="0" w:after="480"/>
      </w:pPr>
      <w:r>
        <w:rPr>
          <w:rFonts w:ascii="Arial" w:cs="Arial" w:eastAsia="Arial" w:hAnsi="Arial"/>
          <w:i/>
          <w:iCs/>
          <w:color w:val="8A9BB0"/>
          <w:sz w:val="22"/>
          <w:szCs w:val="22"/>
        </w:rPr>
        <w:t xml:space="preserve">Pre-Seed Stage  ·  Working Prototype  ·  LOIs in Hand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8C6A" w:sz="6"/>
              <w:left w:val="thick" w:color="0D8C6A" w:sz="18"/>
              <w:bottom w:val="single" w:color="0D8C6A" w:sz="6"/>
              <w:right w:val="none" w:color="0D8C6A" w:sz="0"/>
            </w:tcBorders>
            <w:shd w:fill="E1F5EE" w:val="clear"/>
            <w:tcMar>
              <w:top w:type="dxa" w:w="140"/>
              <w:left w:type="dxa" w:w="200"/>
              <w:bottom w:type="dxa" w:w="140"/>
              <w:right w:type="dxa" w:w="200"/>
            </w:tcMar>
          </w:tcPr>
          <w:p>
            <w:pPr>
              <w:spacing w:after="80"/>
            </w:pPr>
            <w:r>
              <w:rPr>
                <w:rFonts w:ascii="Arial" w:cs="Arial" w:eastAsia="Arial" w:hAnsi="Arial"/>
                <w:b/>
                <w:bCs/>
                <w:color w:val="0D8C6A"/>
                <w:sz w:val="24"/>
                <w:szCs w:val="24"/>
              </w:rPr>
              <w:t xml:space="preserve">Executive Summary</w:t>
            </w:r>
          </w:p>
          <w:p>
            <w:pPr>
              <w:spacing w:before="0" w:after="80"/>
            </w:pPr>
            <w:r>
              <w:rPr>
                <w:rFonts w:ascii="Arial" w:cs="Arial" w:eastAsia="Arial" w:hAnsi="Arial"/>
                <w:color w:val="4A5568"/>
                <w:sz w:val="22"/>
                <w:szCs w:val="22"/>
              </w:rPr>
              <w:t xml:space="preserve">RigPro3 is a purpose-built SaaS estimating and CRM platform targeting the crane, rigging, and heavy haul industry — a niche that is actively underserved by all major construction software vendors. At the prototype stage with letters of intent in hand, the software demonstrates a working product, a defensible niche, and a clear expansion path to adjacent contractor markets.</w:t>
            </w:r>
          </w:p>
          <w:p>
            <w:pPr>
              <w:spacing w:before="0" w:after="0"/>
            </w:pPr>
            <w:r>
              <w:rPr>
                <w:rFonts w:ascii="Arial" w:cs="Arial" w:eastAsia="Arial" w:hAnsi="Arial"/>
                <w:b/>
                <w:bCs/>
                <w:color w:val="0D8C6A"/>
                <w:sz w:val="22"/>
                <w:szCs w:val="22"/>
              </w:rPr>
              <w:t xml:space="preserve">Estimated pre-money valuation range: </w:t>
            </w:r>
            <w:r>
              <w:rPr>
                <w:rFonts w:ascii="Arial" w:cs="Arial" w:eastAsia="Arial" w:hAnsi="Arial"/>
                <w:b/>
                <w:bCs/>
                <w:color w:val="0D8C6A"/>
                <w:sz w:val="24"/>
                <w:szCs w:val="24"/>
              </w:rPr>
              <w:t xml:space="preserve">$3M – $5M</w:t>
            </w:r>
            <w:r>
              <w:rPr>
                <w:rFonts w:ascii="Arial" w:cs="Arial" w:eastAsia="Arial" w:hAnsi="Arial"/>
                <w:color w:val="4A5568"/>
                <w:sz w:val="22"/>
                <w:szCs w:val="22"/>
              </w:rPr>
              <w:t xml:space="preserve">  |  Recommended seed raise: </w:t>
            </w:r>
            <w:r>
              <w:rPr>
                <w:rFonts w:ascii="Arial" w:cs="Arial" w:eastAsia="Arial" w:hAnsi="Arial"/>
                <w:b/>
                <w:bCs/>
                <w:color w:val="C8860A"/>
                <w:sz w:val="24"/>
                <w:szCs w:val="24"/>
              </w:rPr>
              <w:t xml:space="preserve">$500K – $750K</w:t>
            </w:r>
          </w:p>
        </w:tc>
      </w:tr>
    </w:tbl>
    <w:p>
      <w:pPr>
        <w:spacing w:before="24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1. Current Status &amp; Stage</w:t>
      </w:r>
    </w:p>
    <w:p>
      <w:pPr>
        <w:spacing w:before="60" w:after="100"/>
      </w:pPr>
      <w:r>
        <w:rPr>
          <w:rFonts w:ascii="Arial" w:cs="Arial" w:eastAsia="Arial" w:hAnsi="Arial"/>
          <w:color w:val="4A5568"/>
          <w:sz w:val="22"/>
          <w:szCs w:val="22"/>
        </w:rPr>
        <w:t xml:space="preserve">RigPro3 is at a pre-revenue stage with a functioning prototype demonstrated end-to-end. The following status indicators define the starting point for any valuation exercise: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b/>
                <w:bCs/>
                <w:color w:val="1A2332"/>
                <w:sz w:val="22"/>
                <w:szCs w:val="22"/>
              </w:rPr>
              <w:t xml:space="preserve">Software state</w:t>
            </w:r>
          </w:p>
        </w:tc>
        <w:tc>
          <w:tcPr>
            <w:tcW w:type="dxa" w:w="61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2"/>
                <w:szCs w:val="22"/>
              </w:rPr>
              <w:t xml:space="preserve">Working prototype — full quote-to-calendar workflow demonstrated</w:t>
            </w:r>
          </w:p>
        </w:tc>
      </w:tr>
      <w:tr>
        <w:tc>
          <w:tcPr>
            <w:tcW w:type="dxa" w:w="3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b/>
                <w:bCs/>
                <w:color w:val="1A2332"/>
                <w:sz w:val="22"/>
                <w:szCs w:val="22"/>
              </w:rPr>
              <w:t xml:space="preserve">Revenue</w:t>
            </w:r>
          </w:p>
        </w:tc>
        <w:tc>
          <w:tcPr>
            <w:tcW w:type="dxa" w:w="61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2"/>
                <w:szCs w:val="22"/>
              </w:rPr>
              <w:t xml:space="preserve">Pre-revenue — no paying customers yet</w:t>
            </w:r>
          </w:p>
        </w:tc>
      </w:tr>
      <w:tr>
        <w:tc>
          <w:tcPr>
            <w:tcW w:type="dxa" w:w="3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b/>
                <w:bCs/>
                <w:color w:val="1A2332"/>
                <w:sz w:val="22"/>
                <w:szCs w:val="22"/>
              </w:rPr>
              <w:t xml:space="preserve">Customer validation</w:t>
            </w:r>
          </w:p>
        </w:tc>
        <w:tc>
          <w:tcPr>
            <w:tcW w:type="dxa" w:w="61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2"/>
                <w:szCs w:val="22"/>
              </w:rPr>
              <w:t xml:space="preserve">Letters of intent (LOIs) secured from target market</w:t>
            </w:r>
          </w:p>
        </w:tc>
      </w:tr>
      <w:tr>
        <w:tc>
          <w:tcPr>
            <w:tcW w:type="dxa" w:w="3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b/>
                <w:bCs/>
                <w:color w:val="1A2332"/>
                <w:sz w:val="22"/>
                <w:szCs w:val="22"/>
              </w:rPr>
              <w:t xml:space="preserve">Fundraising stage</w:t>
            </w:r>
          </w:p>
        </w:tc>
        <w:tc>
          <w:tcPr>
            <w:tcW w:type="dxa" w:w="61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2"/>
                <w:szCs w:val="22"/>
              </w:rPr>
              <w:t xml:space="preserve">Exploring options — seed round most likely path</w:t>
            </w:r>
          </w:p>
        </w:tc>
      </w:tr>
      <w:tr>
        <w:tc>
          <w:tcPr>
            <w:tcW w:type="dxa" w:w="3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b/>
                <w:bCs/>
                <w:color w:val="1A2332"/>
                <w:sz w:val="22"/>
                <w:szCs w:val="22"/>
              </w:rPr>
              <w:t xml:space="preserve">IP / defensibility</w:t>
            </w:r>
          </w:p>
        </w:tc>
        <w:tc>
          <w:tcPr>
            <w:tcW w:type="dxa" w:w="61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2"/>
                <w:szCs w:val="22"/>
              </w:rPr>
              <w:t xml:space="preserve">Purpose-built for crane/rigging niche; 7 unique features not matched by any competitor</w:t>
            </w:r>
          </w:p>
        </w:tc>
      </w:tr>
      <w:tr>
        <w:tc>
          <w:tcPr>
            <w:tcW w:type="dxa" w:w="3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b/>
                <w:bCs/>
                <w:color w:val="1A2332"/>
                <w:sz w:val="22"/>
                <w:szCs w:val="22"/>
              </w:rPr>
              <w:t xml:space="preserve">Competitive landscape</w:t>
            </w:r>
          </w:p>
        </w:tc>
        <w:tc>
          <w:tcPr>
            <w:tcW w:type="dxa" w:w="61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2"/>
                <w:szCs w:val="22"/>
              </w:rPr>
              <w:t xml:space="preserve">WrightPlan is closest competitor; all others serve different verticals</w:t>
            </w:r>
          </w:p>
        </w:tc>
      </w:tr>
    </w:tbl>
    <w:p>
      <w:pPr>
        <w:spacing w:before="24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2. How Pre-Revenue SaaS Valuation Works</w:t>
      </w:r>
    </w:p>
    <w:p>
      <w:pPr>
        <w:spacing w:before="60" w:after="100"/>
      </w:pPr>
      <w:r>
        <w:rPr>
          <w:rFonts w:ascii="Arial" w:cs="Arial" w:eastAsia="Arial" w:hAnsi="Arial"/>
          <w:color w:val="4A5568"/>
          <w:sz w:val="22"/>
          <w:szCs w:val="22"/>
        </w:rPr>
        <w:t xml:space="preserve">At the prototype + LOI stage, there is no traditional revenue-based valuation. Instead, investors use three primary frameworks, each producing a different estimate. The final valuation is typically negotiated within the range these frameworks define.</w:t>
      </w:r>
    </w:p>
    <w:p>
      <w:pPr>
        <w:spacing w:before="120" w:after="0"/>
      </w:pPr>
      <w:r>
        <w:t xml:space="preserve"/>
      </w:r>
    </w:p>
    <w:p>
      <w:pPr>
        <w:spacing w:before="200" w:after="80"/>
      </w:pPr>
      <w:r>
        <w:rPr>
          <w:rFonts w:ascii="Arial" w:cs="Arial" w:eastAsia="Arial" w:hAnsi="Arial"/>
          <w:b/>
          <w:bCs/>
          <w:color w:val="1A2332"/>
          <w:sz w:val="22"/>
          <w:szCs w:val="22"/>
        </w:rPr>
        <w:t xml:space="preserve">Framework 1 — Future ARR Discounted Back</w:t>
      </w:r>
    </w:p>
    <w:p>
      <w:pPr>
        <w:spacing w:before="60" w:after="100"/>
      </w:pPr>
      <w:r>
        <w:rPr>
          <w:rFonts w:ascii="Arial" w:cs="Arial" w:eastAsia="Arial" w:hAnsi="Arial"/>
          <w:color w:val="4A5568"/>
          <w:sz w:val="22"/>
          <w:szCs w:val="22"/>
        </w:rPr>
        <w:t xml:space="preserve">Investors estimate realistic ARR (annual recurring revenue) 2–3 years out, apply a SaaS multiple (8–15× for construction tech), then discount 70–85% for execution risk and time value.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1400"/>
        <w:gridCol w:w="1360"/>
      </w:tblGrid>
      <w:tr>
        <w:trPr>
          <w:tblHeader/>
        </w:trPr>
        <w:tc>
          <w:tcPr>
            <w:tcW w:type="dxa" w:w="2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20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Projected ARR (Yr 2–3)</w:t>
            </w:r>
          </w:p>
        </w:tc>
        <w:tc>
          <w:tcPr>
            <w:tcW w:type="dxa" w:w="1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Multiple</w:t>
            </w:r>
          </w:p>
        </w:tc>
        <w:tc>
          <w:tcPr>
            <w:tcW w:type="dxa" w:w="14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Discount</w:t>
            </w:r>
          </w:p>
        </w:tc>
        <w:tc>
          <w:tcPr>
            <w:tcW w:type="dxa" w:w="136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Implied Valuation</w:t>
            </w:r>
          </w:p>
        </w:tc>
      </w:tr>
      <w:tr>
        <w:tc>
          <w:tcPr>
            <w:tcW w:type="dxa" w:w="2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Rigging-only moderate</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$2.15M (Yr 2)</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10×</w:t>
            </w:r>
          </w:p>
        </w:tc>
        <w:tc>
          <w:tcPr>
            <w:tcW w:type="dxa" w:w="1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75%</w:t>
            </w:r>
          </w:p>
        </w:tc>
        <w:tc>
          <w:tcPr>
            <w:tcW w:type="dxa" w:w="13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~$5.4M</w:t>
            </w:r>
          </w:p>
        </w:tc>
      </w:tr>
      <w:tr>
        <w:tc>
          <w:tcPr>
            <w:tcW w:type="dxa" w:w="2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Rigging + expansion moderate</w:t>
            </w:r>
          </w:p>
        </w:tc>
        <w:tc>
          <w:tcPr>
            <w:tcW w:type="dxa" w:w="20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$6.46M (Yr 3)</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10×</w:t>
            </w:r>
          </w:p>
        </w:tc>
        <w:tc>
          <w:tcPr>
            <w:tcW w:type="dxa" w:w="1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75%</w:t>
            </w:r>
          </w:p>
        </w:tc>
        <w:tc>
          <w:tcPr>
            <w:tcW w:type="dxa" w:w="1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~$16.2M</w:t>
            </w:r>
          </w:p>
        </w:tc>
      </w:tr>
      <w:tr>
        <w:tc>
          <w:tcPr>
            <w:tcW w:type="dxa" w:w="2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Conservative rigging-only</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$717K (Yr 2)</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8×</w:t>
            </w:r>
          </w:p>
        </w:tc>
        <w:tc>
          <w:tcPr>
            <w:tcW w:type="dxa" w:w="1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75%</w:t>
            </w:r>
          </w:p>
        </w:tc>
        <w:tc>
          <w:tcPr>
            <w:tcW w:type="dxa" w:w="13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~$1.4M</w:t>
            </w:r>
          </w:p>
        </w:tc>
      </w:tr>
    </w:tbl>
    <w:p>
      <w:pPr>
        <w:spacing w:before="200" w:after="0"/>
      </w:pPr>
      <w:r>
        <w:t xml:space="preserve"/>
      </w:r>
    </w:p>
    <w:p>
      <w:pPr>
        <w:spacing w:before="200" w:after="80"/>
      </w:pPr>
      <w:r>
        <w:rPr>
          <w:rFonts w:ascii="Arial" w:cs="Arial" w:eastAsia="Arial" w:hAnsi="Arial"/>
          <w:b/>
          <w:bCs/>
          <w:color w:val="1A2332"/>
          <w:sz w:val="22"/>
          <w:szCs w:val="22"/>
        </w:rPr>
        <w:t xml:space="preserve">Framework 2 — Berkus Method</w:t>
      </w:r>
    </w:p>
    <w:p>
      <w:pPr>
        <w:spacing w:before="60" w:after="100"/>
      </w:pPr>
      <w:r>
        <w:rPr>
          <w:rFonts w:ascii="Arial" w:cs="Arial" w:eastAsia="Arial" w:hAnsi="Arial"/>
          <w:color w:val="4A5568"/>
          <w:sz w:val="22"/>
          <w:szCs w:val="22"/>
        </w:rPr>
        <w:t xml:space="preserve">Standard for pre-revenue startups. Assigns up to $500K–$2M of value to each of five risk-reduction factors that have been addressed: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rPr>
          <w:tblHeader/>
        </w:trPr>
        <w:tc>
          <w:tcPr>
            <w:tcW w:type="dxa" w:w="32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Reducer</w:t>
            </w:r>
          </w:p>
        </w:tc>
        <w:tc>
          <w:tcPr>
            <w:tcW w:type="dxa" w:w="1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22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 Range</w:t>
            </w:r>
          </w:p>
        </w:tc>
        <w:tc>
          <w:tcPr>
            <w:tcW w:type="dxa" w:w="216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Sound idea / validated concept</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 Confirmed</w:t>
            </w:r>
          </w:p>
        </w:tc>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$500K – $1M</w:t>
            </w:r>
          </w:p>
        </w:tc>
        <w:tc>
          <w:tcPr>
            <w:tcW w:type="dxa" w:w="21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Niche underserved by all major platforms</w:t>
            </w:r>
          </w:p>
        </w:tc>
      </w:tr>
      <w:tr>
        <w:tc>
          <w:tcPr>
            <w:tcW w:type="dxa" w:w="3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Working prototype</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 Demonstrated</w:t>
            </w:r>
          </w:p>
        </w:tc>
        <w:tc>
          <w:tcPr>
            <w:tcW w:type="dxa" w:w="2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$1M – $2M</w:t>
            </w:r>
          </w:p>
        </w:tc>
        <w:tc>
          <w:tcPr>
            <w:tcW w:type="dxa" w:w="21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Full quote-to-calendar workflow live</w:t>
            </w:r>
          </w:p>
        </w:tc>
      </w:tr>
      <w:tr>
        <w:tc>
          <w:tcPr>
            <w:tcW w:type="dxa" w:w="32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Quality management team</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Unknown</w:t>
            </w:r>
          </w:p>
        </w:tc>
        <w:tc>
          <w:tcPr>
            <w:tcW w:type="dxa" w:w="22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$0 – $1M</w:t>
            </w:r>
          </w:p>
        </w:tc>
        <w:tc>
          <w:tcPr>
            <w:tcW w:type="dxa" w:w="21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Industry experience adds significant value</w:t>
            </w:r>
          </w:p>
        </w:tc>
      </w:tr>
      <w:tr>
        <w:tc>
          <w:tcPr>
            <w:tcW w:type="dxa" w:w="3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Strategic relationships / LOIs</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 In hand</w:t>
            </w:r>
          </w:p>
        </w:tc>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$500K – $1.5M</w:t>
            </w:r>
          </w:p>
        </w:tc>
        <w:tc>
          <w:tcPr>
            <w:tcW w:type="dxa" w:w="21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Proof of willingness-to-pay</w:t>
            </w:r>
          </w:p>
        </w:tc>
      </w:tr>
      <w:tr>
        <w:tc>
          <w:tcPr>
            <w:tcW w:type="dxa" w:w="32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Sales / product rollout</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Not yet</w:t>
            </w:r>
          </w:p>
        </w:tc>
        <w:tc>
          <w:tcPr>
            <w:tcW w:type="dxa" w:w="22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$0</w:t>
            </w:r>
          </w:p>
        </w:tc>
        <w:tc>
          <w:tcPr>
            <w:tcW w:type="dxa" w:w="21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Will add value at next stage</w:t>
            </w:r>
          </w:p>
        </w:tc>
      </w:tr>
      <w:tr>
        <w:tc>
          <w:tcPr>
            <w:tcW w:type="dxa" w:w="3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TOTAL BERKUS RANGE</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
            </w:r>
          </w:p>
        </w:tc>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$2M – $5.5M</w:t>
            </w:r>
          </w:p>
        </w:tc>
        <w:tc>
          <w:tcPr>
            <w:tcW w:type="dxa" w:w="21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
            </w:r>
          </w:p>
        </w:tc>
      </w:tr>
    </w:tbl>
    <w:p>
      <w:pPr>
        <w:spacing w:before="200" w:after="0"/>
      </w:pPr>
      <w:r>
        <w:t xml:space="preserve"/>
      </w:r>
    </w:p>
    <w:p>
      <w:pPr>
        <w:spacing w:before="200" w:after="80"/>
      </w:pPr>
      <w:r>
        <w:rPr>
          <w:rFonts w:ascii="Arial" w:cs="Arial" w:eastAsia="Arial" w:hAnsi="Arial"/>
          <w:b/>
          <w:bCs/>
          <w:color w:val="1A2332"/>
          <w:sz w:val="22"/>
          <w:szCs w:val="22"/>
        </w:rPr>
        <w:t xml:space="preserve">Framework 3 — VC Ownership Back-Calculation</w:t>
      </w:r>
    </w:p>
    <w:p>
      <w:pPr>
        <w:spacing w:before="60" w:after="100"/>
      </w:pPr>
      <w:r>
        <w:rPr>
          <w:rFonts w:ascii="Arial" w:cs="Arial" w:eastAsia="Arial" w:hAnsi="Arial"/>
          <w:color w:val="4A5568"/>
          <w:sz w:val="22"/>
          <w:szCs w:val="22"/>
        </w:rPr>
        <w:t xml:space="preserve">Seed investors typically target 15–25% ownership. Working backward from a target raise amount: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rPr>
          <w:tblHeader/>
        </w:trPr>
        <w:tc>
          <w:tcPr>
            <w:tcW w:type="dxa" w:w="24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Raise Amount</w:t>
            </w:r>
          </w:p>
        </w:tc>
        <w:tc>
          <w:tcPr>
            <w:tcW w:type="dxa" w:w="20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Ownership</w:t>
            </w:r>
          </w:p>
        </w:tc>
        <w:tc>
          <w:tcPr>
            <w:tcW w:type="dxa" w:w="216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Implied Pre-Money</w:t>
            </w:r>
          </w:p>
        </w:tc>
        <w:tc>
          <w:tcPr>
            <w:tcW w:type="dxa" w:w="2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Post-Money</w:t>
            </w:r>
          </w:p>
        </w:tc>
      </w:tr>
      <w:tr>
        <w:tc>
          <w:tcPr>
            <w:tcW w:type="dxa" w:w="2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$500K</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20%</w:t>
            </w:r>
          </w:p>
        </w:tc>
        <w:tc>
          <w:tcPr>
            <w:tcW w:type="dxa" w:w="21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$2.0M</w:t>
            </w:r>
          </w:p>
        </w:tc>
        <w:tc>
          <w:tcPr>
            <w:tcW w:type="dxa" w:w="2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$2.5M</w:t>
            </w:r>
          </w:p>
        </w:tc>
      </w:tr>
      <w:tr>
        <w:tc>
          <w:tcPr>
            <w:tcW w:type="dxa" w:w="2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$500K</w:t>
            </w:r>
          </w:p>
        </w:tc>
        <w:tc>
          <w:tcPr>
            <w:tcW w:type="dxa" w:w="20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15%</w:t>
            </w:r>
          </w:p>
        </w:tc>
        <w:tc>
          <w:tcPr>
            <w:tcW w:type="dxa" w:w="21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$2.83M</w:t>
            </w:r>
          </w:p>
        </w:tc>
        <w:tc>
          <w:tcPr>
            <w:tcW w:type="dxa" w:w="2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$3.33M</w:t>
            </w:r>
          </w:p>
        </w:tc>
      </w:tr>
      <w:tr>
        <w:tc>
          <w:tcPr>
            <w:tcW w:type="dxa" w:w="2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$750K</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20%</w:t>
            </w:r>
          </w:p>
        </w:tc>
        <w:tc>
          <w:tcPr>
            <w:tcW w:type="dxa" w:w="21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$3.0M</w:t>
            </w:r>
          </w:p>
        </w:tc>
        <w:tc>
          <w:tcPr>
            <w:tcW w:type="dxa" w:w="2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$3.75M</w:t>
            </w:r>
          </w:p>
        </w:tc>
      </w:tr>
      <w:tr>
        <w:tc>
          <w:tcPr>
            <w:tcW w:type="dxa" w:w="2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$750K</w:t>
            </w:r>
          </w:p>
        </w:tc>
        <w:tc>
          <w:tcPr>
            <w:tcW w:type="dxa" w:w="20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15%</w:t>
            </w:r>
          </w:p>
        </w:tc>
        <w:tc>
          <w:tcPr>
            <w:tcW w:type="dxa" w:w="21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$4.25M</w:t>
            </w:r>
          </w:p>
        </w:tc>
        <w:tc>
          <w:tcPr>
            <w:tcW w:type="dxa" w:w="2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$5.0M</w:t>
            </w:r>
          </w:p>
        </w:tc>
      </w:tr>
      <w:tr>
        <w:tc>
          <w:tcPr>
            <w:tcW w:type="dxa" w:w="2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$1M</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20%</w:t>
            </w:r>
          </w:p>
        </w:tc>
        <w:tc>
          <w:tcPr>
            <w:tcW w:type="dxa" w:w="21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$4.0M</w:t>
            </w:r>
          </w:p>
        </w:tc>
        <w:tc>
          <w:tcPr>
            <w:tcW w:type="dxa" w:w="2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$5.0M</w:t>
            </w:r>
          </w:p>
        </w:tc>
      </w:tr>
    </w:tbl>
    <w:p>
      <w:pPr>
        <w:spacing w:before="28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3. Realistic Valuation Range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8C6A" w:sz="6"/>
              <w:left w:val="thick" w:color="0D8C6A" w:sz="18"/>
              <w:bottom w:val="single" w:color="0D8C6A" w:sz="6"/>
              <w:right w:val="none" w:color="0D8C6A" w:sz="0"/>
            </w:tcBorders>
            <w:shd w:fill="E1F5EE" w:val="clear"/>
            <w:tcMar>
              <w:top w:type="dxa" w:w="140"/>
              <w:left w:type="dxa" w:w="200"/>
              <w:bottom w:type="dxa" w:w="140"/>
              <w:right w:type="dxa" w:w="200"/>
            </w:tcMar>
          </w:tcPr>
          <w:p>
            <w:pPr>
              <w:spacing w:after="80"/>
            </w:pPr>
            <w:r>
              <w:rPr>
                <w:rFonts w:ascii="Arial" w:cs="Arial" w:eastAsia="Arial" w:hAnsi="Arial"/>
                <w:b/>
                <w:bCs/>
                <w:color w:val="0D8C6A"/>
                <w:sz w:val="24"/>
                <w:szCs w:val="24"/>
              </w:rPr>
              <w:t xml:space="preserve">Recommended Valuation Range: $3M – $5M Pre-Money</w:t>
            </w:r>
          </w:p>
          <w:p>
            <w:pPr>
              <w:spacing w:before="0" w:after="80"/>
            </w:pPr>
            <w:r>
              <w:rPr>
                <w:rFonts w:ascii="Arial" w:cs="Arial" w:eastAsia="Arial" w:hAnsi="Arial"/>
                <w:color w:val="4A5568"/>
                <w:sz w:val="22"/>
                <w:szCs w:val="22"/>
              </w:rPr>
              <w:t xml:space="preserve">Based on the three frameworks above and the specific characteristics of RigPro3, a $3M–$5M pre-money valuation is well-supported at this stage. This assumes a $500K–$750K seed raise at 15–20% dilution.</w:t>
            </w:r>
          </w:p>
          <w:p>
            <w:pPr>
              <w:spacing w:before="0" w:after="0"/>
            </w:pPr>
            <w:r>
              <w:rPr>
                <w:rFonts w:ascii="Arial" w:cs="Arial" w:eastAsia="Arial" w:hAnsi="Arial"/>
                <w:color w:val="4A5568"/>
                <w:sz w:val="22"/>
                <w:szCs w:val="22"/>
              </w:rPr>
              <w:t xml:space="preserve">This gives you 12–18 months of runway to reach $30–50K MRR (8–14 paying companies), after which a Series A at $8–$15M pre-money becomes realistic.</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rPr>
          <w:tblHeader/>
        </w:trPr>
        <w:tc>
          <w:tcPr>
            <w:tcW w:type="dxa" w:w="26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Investor Type</w:t>
            </w:r>
          </w:p>
        </w:tc>
        <w:tc>
          <w:tcPr>
            <w:tcW w:type="dxa" w:w="20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Pre-Money</w:t>
            </w:r>
          </w:p>
        </w:tc>
        <w:tc>
          <w:tcPr>
            <w:tcW w:type="dxa" w:w="236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Raise Amount</w:t>
            </w:r>
          </w:p>
        </w:tc>
        <w:tc>
          <w:tcPr>
            <w:tcW w:type="dxa" w:w="24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6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Angel / friends &amp; family</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$1.5M – $2.5M</w:t>
            </w:r>
          </w:p>
        </w:tc>
        <w:tc>
          <w:tcPr>
            <w:tcW w:type="dxa" w:w="23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$100K – $300K</w:t>
            </w:r>
          </w:p>
        </w:tc>
        <w:tc>
          <w:tcPr>
            <w:tcW w:type="dxa" w:w="2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Common for prototype stage</w:t>
            </w:r>
          </w:p>
        </w:tc>
      </w:tr>
      <w:tr>
        <w:tc>
          <w:tcPr>
            <w:tcW w:type="dxa" w:w="26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Seed round (with LOIs)</w:t>
            </w:r>
          </w:p>
        </w:tc>
        <w:tc>
          <w:tcPr>
            <w:tcW w:type="dxa" w:w="20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$3M – $5M</w:t>
            </w:r>
          </w:p>
        </w:tc>
        <w:tc>
          <w:tcPr>
            <w:tcW w:type="dxa" w:w="2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$500K – $750K</w:t>
            </w:r>
          </w:p>
        </w:tc>
        <w:tc>
          <w:tcPr>
            <w:tcW w:type="dxa" w:w="24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Most likely range for current status</w:t>
            </w:r>
          </w:p>
        </w:tc>
      </w:tr>
      <w:tr>
        <w:tc>
          <w:tcPr>
            <w:tcW w:type="dxa" w:w="26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Seed + industry credibility</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$5M – $8M</w:t>
            </w:r>
          </w:p>
        </w:tc>
        <w:tc>
          <w:tcPr>
            <w:tcW w:type="dxa" w:w="23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$750K – $1.5M</w:t>
            </w:r>
          </w:p>
        </w:tc>
        <w:tc>
          <w:tcPr>
            <w:tcW w:type="dxa" w:w="24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If LOIs from named companies</w:t>
            </w:r>
          </w:p>
        </w:tc>
      </w:tr>
      <w:tr>
        <w:tc>
          <w:tcPr>
            <w:tcW w:type="dxa" w:w="26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Strategic investor (SC&amp;RA member)</w:t>
            </w:r>
          </w:p>
        </w:tc>
        <w:tc>
          <w:tcPr>
            <w:tcW w:type="dxa" w:w="20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$4M – $10M</w:t>
            </w:r>
          </w:p>
        </w:tc>
        <w:tc>
          <w:tcPr>
            <w:tcW w:type="dxa" w:w="2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Variable</w:t>
            </w:r>
          </w:p>
        </w:tc>
        <w:tc>
          <w:tcPr>
            <w:tcW w:type="dxa" w:w="2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Industry insider accelerates adoption</w:t>
            </w:r>
          </w:p>
        </w:tc>
      </w:tr>
    </w:tbl>
    <w:p>
      <w:pPr>
        <w:spacing w:before="28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4. What Pushes RigPro3's Valuation to the Higher End</w:t>
      </w:r>
    </w:p>
    <w:p>
      <w:pPr>
        <w:spacing w:before="60" w:after="100"/>
      </w:pPr>
      <w:r>
        <w:rPr>
          <w:rFonts w:ascii="Arial" w:cs="Arial" w:eastAsia="Arial" w:hAnsi="Arial"/>
          <w:color w:val="4A5568"/>
          <w:sz w:val="22"/>
          <w:szCs w:val="22"/>
        </w:rPr>
        <w:t xml:space="preserve">Several specific factors in RigPro3's profile support a premium relative to a generic pre-revenue prototype. These are the points to emphasize in investor conversations:</w:t>
      </w:r>
    </w:p>
    <w:p>
      <w:pPr>
        <w:spacing w:before="120" w:after="0"/>
      </w:pPr>
      <w:r>
        <w:t xml:space="preserve"/>
      </w:r>
    </w:p>
    <w:p>
      <w:pPr>
        <w:pStyle w:val="ListParagraph"/>
        <w:numPr>
          <w:ilvl w:val="0"/>
          <w:numId w:val="2"/>
        </w:numPr>
        <w:spacing w:before="40" w:after="60"/>
      </w:pPr>
      <w:r>
        <w:rPr>
          <w:rFonts w:ascii="Arial" w:cs="Arial" w:eastAsia="Arial" w:hAnsi="Arial"/>
          <w:b/>
          <w:bCs/>
          <w:color w:val="1A2332"/>
          <w:sz w:val="22"/>
          <w:szCs w:val="22"/>
        </w:rPr>
        <w:t xml:space="preserve">Crane &amp; rigging specificity: </w:t>
      </w:r>
      <w:r>
        <w:rPr>
          <w:rFonts w:ascii="Arial" w:cs="Arial" w:eastAsia="Arial" w:hAnsi="Arial"/>
          <w:color w:val="4A5568"/>
          <w:sz w:val="22"/>
          <w:szCs w:val="22"/>
        </w:rPr>
        <w:t xml:space="preserve">Defensible niche</w:t>
      </w:r>
    </w:p>
    <w:p>
      <w:pPr>
        <w:spacing w:before="60" w:after="100"/>
      </w:pPr>
      <w:r>
        <w:rPr>
          <w:rFonts w:ascii="Arial" w:cs="Arial" w:eastAsia="Arial" w:hAnsi="Arial"/>
          <w:i w:val="false"/>
          <w:iCs w:val="false"/>
          <w:color w:val="4A5568"/>
          <w:sz w:val="22"/>
          <w:szCs w:val="22"/>
        </w:rPr>
        <w:t xml:space="preserve">The market is underserved and WrightPlan, the closest competitor, has weak UI, no modern estimating logic, and dated architecture. Niche SaaS with a clear incumbent to displace is one of the most fundable investor narratives.</w:t>
      </w:r>
    </w:p>
    <w:p>
      <w:pPr>
        <w:spacing w:before="40" w:after="0"/>
      </w:pPr>
      <w:r>
        <w:t xml:space="preserve"/>
      </w:r>
    </w:p>
    <w:p>
      <w:pPr>
        <w:pStyle w:val="ListParagraph"/>
        <w:numPr>
          <w:ilvl w:val="0"/>
          <w:numId w:val="2"/>
        </w:numPr>
        <w:spacing w:before="40" w:after="60"/>
      </w:pPr>
      <w:r>
        <w:rPr>
          <w:rFonts w:ascii="Arial" w:cs="Arial" w:eastAsia="Arial" w:hAnsi="Arial"/>
          <w:b/>
          <w:bCs/>
          <w:color w:val="1A2332"/>
          <w:sz w:val="22"/>
          <w:szCs w:val="22"/>
        </w:rPr>
        <w:t xml:space="preserve">Working prototype: </w:t>
      </w:r>
      <w:r>
        <w:rPr>
          <w:rFonts w:ascii="Arial" w:cs="Arial" w:eastAsia="Arial" w:hAnsi="Arial"/>
          <w:color w:val="4A5568"/>
          <w:sz w:val="22"/>
          <w:szCs w:val="22"/>
        </w:rPr>
        <w:t xml:space="preserve">Proof of concept, not vaporware</w:t>
      </w:r>
    </w:p>
    <w:p>
      <w:pPr>
        <w:spacing w:before="60" w:after="100"/>
      </w:pPr>
      <w:r>
        <w:rPr>
          <w:rFonts w:ascii="Arial" w:cs="Arial" w:eastAsia="Arial" w:hAnsi="Arial"/>
          <w:i w:val="false"/>
          <w:iCs w:val="false"/>
          <w:color w:val="4A5568"/>
          <w:sz w:val="22"/>
          <w:szCs w:val="22"/>
        </w:rPr>
        <w:t xml:space="preserve">The full quote-to-calendar workflow eliminates technology risk — the #1 concern at seed stage. Most seed pitches are decks only; you have a live demo.</w:t>
      </w:r>
    </w:p>
    <w:p>
      <w:pPr>
        <w:spacing w:before="40" w:after="0"/>
      </w:pPr>
      <w:r>
        <w:t xml:space="preserve"/>
      </w:r>
    </w:p>
    <w:p>
      <w:pPr>
        <w:pStyle w:val="ListParagraph"/>
        <w:numPr>
          <w:ilvl w:val="0"/>
          <w:numId w:val="2"/>
        </w:numPr>
        <w:spacing w:before="40" w:after="60"/>
      </w:pPr>
      <w:r>
        <w:rPr>
          <w:rFonts w:ascii="Arial" w:cs="Arial" w:eastAsia="Arial" w:hAnsi="Arial"/>
          <w:b/>
          <w:bCs/>
          <w:color w:val="1A2332"/>
          <w:sz w:val="22"/>
          <w:szCs w:val="22"/>
        </w:rPr>
        <w:t xml:space="preserve">LOIs in hand: </w:t>
      </w:r>
      <w:r>
        <w:rPr>
          <w:rFonts w:ascii="Arial" w:cs="Arial" w:eastAsia="Arial" w:hAnsi="Arial"/>
          <w:color w:val="4A5568"/>
          <w:sz w:val="22"/>
          <w:szCs w:val="22"/>
        </w:rPr>
        <w:t xml:space="preserve">Willingness-to-pay validated</w:t>
      </w:r>
    </w:p>
    <w:p>
      <w:pPr>
        <w:spacing w:before="60" w:after="100"/>
      </w:pPr>
      <w:r>
        <w:rPr>
          <w:rFonts w:ascii="Arial" w:cs="Arial" w:eastAsia="Arial" w:hAnsi="Arial"/>
          <w:i w:val="false"/>
          <w:iCs w:val="false"/>
          <w:color w:val="4A5568"/>
          <w:sz w:val="22"/>
          <w:szCs w:val="22"/>
        </w:rPr>
        <w:t xml:space="preserve">Even 1–2 signed LOIs from rigging companies is worth more than 100 warm leads. It is the difference between 'people might pay for this' and 'people have committed to pay for this.'</w:t>
      </w:r>
    </w:p>
    <w:p>
      <w:pPr>
        <w:spacing w:before="40" w:after="0"/>
      </w:pPr>
      <w:r>
        <w:t xml:space="preserve"/>
      </w:r>
    </w:p>
    <w:p>
      <w:pPr>
        <w:pStyle w:val="ListParagraph"/>
        <w:numPr>
          <w:ilvl w:val="0"/>
          <w:numId w:val="2"/>
        </w:numPr>
        <w:spacing w:before="40" w:after="60"/>
      </w:pPr>
      <w:r>
        <w:rPr>
          <w:rFonts w:ascii="Arial" w:cs="Arial" w:eastAsia="Arial" w:hAnsi="Arial"/>
          <w:b/>
          <w:bCs/>
          <w:color w:val="1A2332"/>
          <w:sz w:val="22"/>
          <w:szCs w:val="22"/>
        </w:rPr>
        <w:t xml:space="preserve">Expansion roadmap: </w:t>
      </w:r>
      <w:r>
        <w:rPr>
          <w:rFonts w:ascii="Arial" w:cs="Arial" w:eastAsia="Arial" w:hAnsi="Arial"/>
          <w:color w:val="4A5568"/>
          <w:sz w:val="22"/>
          <w:szCs w:val="22"/>
        </w:rPr>
        <w:t xml:space="preserve">Path to $500M+ market, not just $7M</w:t>
      </w:r>
    </w:p>
    <w:p>
      <w:pPr>
        <w:spacing w:before="60" w:after="100"/>
      </w:pPr>
      <w:r>
        <w:rPr>
          <w:rFonts w:ascii="Arial" w:cs="Arial" w:eastAsia="Arial" w:hAnsi="Arial"/>
          <w:i w:val="false"/>
          <w:iCs w:val="false"/>
          <w:color w:val="4A5568"/>
          <w:sz w:val="22"/>
          <w:szCs w:val="22"/>
        </w:rPr>
        <w:t xml:space="preserve">The 4-phase expansion from rigging to millwright to specialty contractors to general contractors shows investors a path from a defensible niche into a $900M+ addressable market. Investors fund the trajectory, not just the starting point.</w:t>
      </w:r>
    </w:p>
    <w:p>
      <w:pPr>
        <w:spacing w:before="40" w:after="0"/>
      </w:pPr>
      <w:r>
        <w:t xml:space="preserve"/>
      </w:r>
    </w:p>
    <w:p>
      <w:pPr>
        <w:pStyle w:val="ListParagraph"/>
        <w:numPr>
          <w:ilvl w:val="0"/>
          <w:numId w:val="2"/>
        </w:numPr>
        <w:spacing w:before="40" w:after="60"/>
      </w:pPr>
      <w:r>
        <w:rPr>
          <w:rFonts w:ascii="Arial" w:cs="Arial" w:eastAsia="Arial" w:hAnsi="Arial"/>
          <w:b/>
          <w:bCs/>
          <w:color w:val="1A2332"/>
          <w:sz w:val="22"/>
          <w:szCs w:val="22"/>
        </w:rPr>
        <w:t xml:space="preserve">Procore/Buildertrend won't compete: </w:t>
      </w:r>
      <w:r>
        <w:rPr>
          <w:rFonts w:ascii="Arial" w:cs="Arial" w:eastAsia="Arial" w:hAnsi="Arial"/>
          <w:color w:val="4A5568"/>
          <w:sz w:val="22"/>
          <w:szCs w:val="22"/>
        </w:rPr>
        <w:t xml:space="preserve">No BigCo threat</w:t>
      </w:r>
    </w:p>
    <w:p>
      <w:pPr>
        <w:spacing w:before="60" w:after="100"/>
      </w:pPr>
      <w:r>
        <w:rPr>
          <w:rFonts w:ascii="Arial" w:cs="Arial" w:eastAsia="Arial" w:hAnsi="Arial"/>
          <w:i w:val="false"/>
          <w:iCs w:val="false"/>
          <w:color w:val="4A5568"/>
          <w:sz w:val="22"/>
          <w:szCs w:val="22"/>
        </w:rPr>
        <w:t xml:space="preserve">The rigging market is too small for Procore ($1.15B revenue) or Buildertrend (~$500M revenue) to prioritize. This is actually a positive — investors know you won't get crushed by a platform player before you reach scale.</w:t>
      </w:r>
    </w:p>
    <w:p>
      <w:pPr>
        <w:spacing w:before="40" w:after="0"/>
      </w:pPr>
      <w:r>
        <w:t xml:space="preserve"/>
      </w:r>
    </w:p>
    <w:p>
      <w:pPr>
        <w:pStyle w:val="ListParagraph"/>
        <w:numPr>
          <w:ilvl w:val="0"/>
          <w:numId w:val="2"/>
        </w:numPr>
        <w:spacing w:before="40" w:after="60"/>
      </w:pPr>
      <w:r>
        <w:rPr>
          <w:rFonts w:ascii="Arial" w:cs="Arial" w:eastAsia="Arial" w:hAnsi="Arial"/>
          <w:b/>
          <w:bCs/>
          <w:color w:val="1A2332"/>
          <w:sz w:val="22"/>
          <w:szCs w:val="22"/>
        </w:rPr>
        <w:t xml:space="preserve">Unique IP: </w:t>
      </w:r>
      <w:r>
        <w:rPr>
          <w:rFonts w:ascii="Arial" w:cs="Arial" w:eastAsia="Arial" w:hAnsi="Arial"/>
          <w:color w:val="4A5568"/>
          <w:sz w:val="22"/>
          <w:szCs w:val="22"/>
        </w:rPr>
        <w:t xml:space="preserve">7 features no competitor has</w:t>
      </w:r>
    </w:p>
    <w:p>
      <w:pPr>
        <w:spacing w:before="60" w:after="100"/>
      </w:pPr>
      <w:r>
        <w:rPr>
          <w:rFonts w:ascii="Arial" w:cs="Arial" w:eastAsia="Arial" w:hAnsi="Arial"/>
          <w:i w:val="false"/>
          <w:iCs w:val="false"/>
          <w:color w:val="4A5568"/>
          <w:sz w:val="22"/>
          <w:szCs w:val="22"/>
        </w:rPr>
        <w:t xml:space="preserve">Customer-specific labor rate overrides, live net profit slider, equipment conflict detection, per-associate pipeline analytics, and the inbound request-to-estimate workflow are features that exist nowhere else in this competitive set. That's a moat.</w:t>
      </w:r>
    </w:p>
    <w:p>
      <w:pPr>
        <w:spacing w:before="28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5. What Would Move the Needle Most Before Fundraising</w:t>
      </w:r>
    </w:p>
    <w:p>
      <w:pPr>
        <w:spacing w:before="60" w:after="100"/>
      </w:pPr>
      <w:r>
        <w:rPr>
          <w:rFonts w:ascii="Arial" w:cs="Arial" w:eastAsia="Arial" w:hAnsi="Arial"/>
          <w:color w:val="4A5568"/>
          <w:sz w:val="22"/>
          <w:szCs w:val="22"/>
        </w:rPr>
        <w:t xml:space="preserve">In order of impact on valuation: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D8DEE8" w:sz="1"/>
              <w:left w:val="single" w:color="D8DEE8" w:sz="1"/>
              <w:bottom w:val="single" w:color="D8DEE8" w:sz="1"/>
              <w:right w:val="single" w:color="D8DEE8" w:sz="1"/>
            </w:tcBorders>
            <w:shd w:fill="0D8C6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600"/>
            <w:tcBorders>
              <w:top w:val="single" w:color="D8DEE8" w:sz="1"/>
              <w:left w:val="single" w:color="D8DEE8" w:sz="1"/>
              <w:bottom w:val="single" w:color="D8DEE8" w:sz="1"/>
              <w:right w:val="single" w:color="D8DEE8" w:sz="1"/>
            </w:tcBorders>
            <w:shd w:fill="0D8C6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6360"/>
            <w:tcBorders>
              <w:top w:val="single" w:color="D8DEE8" w:sz="1"/>
              <w:left w:val="single" w:color="D8DEE8" w:sz="1"/>
              <w:bottom w:val="single" w:color="D8DEE8" w:sz="1"/>
              <w:right w:val="single" w:color="D8DEE8" w:sz="1"/>
            </w:tcBorders>
            <w:shd w:fill="0D8C6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Valuation Impact</w:t>
            </w:r>
          </w:p>
        </w:tc>
      </w:tr>
      <w:tr>
        <w:tc>
          <w:tcPr>
            <w:tcW w:type="dxa" w:w="4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1</w:t>
            </w:r>
          </w:p>
        </w:tc>
        <w:tc>
          <w:tcPr>
            <w:tcW w:type="dxa" w:w="26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Convert one LOI to paying customer</w:t>
            </w:r>
          </w:p>
        </w:tc>
        <w:tc>
          <w:tcPr>
            <w:tcW w:type="dxa" w:w="6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Changes conversation from pre-revenue to early revenue. Can add $1M–$2M to valuation overnight. Even $199/mo is enough.</w:t>
            </w:r>
          </w:p>
        </w:tc>
      </w:tr>
      <w:tr>
        <w:tc>
          <w:tcPr>
            <w:tcW w:type="dxa" w:w="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2</w:t>
            </w:r>
          </w:p>
        </w:tc>
        <w:tc>
          <w:tcPr>
            <w:tcW w:type="dxa" w:w="26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Get a named-brand reference customer</w:t>
            </w:r>
          </w:p>
        </w:tc>
        <w:tc>
          <w:tcPr>
            <w:tcW w:type="dxa" w:w="6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If Maxim, ALL Erection, Barnhart, or any SC&amp;RA member signs a pilot, that's verifiable proof. Adds $500K–$2M instantly.</w:t>
            </w:r>
          </w:p>
        </w:tc>
      </w:tr>
      <w:tr>
        <w:tc>
          <w:tcPr>
            <w:tcW w:type="dxa" w:w="4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3</w:t>
            </w:r>
          </w:p>
        </w:tc>
        <w:tc>
          <w:tcPr>
            <w:tcW w:type="dxa" w:w="26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Quantify the LOIs in dollar terms</w:t>
            </w:r>
          </w:p>
        </w:tc>
        <w:tc>
          <w:tcPr>
            <w:tcW w:type="dxa" w:w="6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If you can say '$X in committed ARR,' investors shift to revenue multiples rather than risk-adjustment frameworks — a much higher number.</w:t>
            </w:r>
          </w:p>
        </w:tc>
      </w:tr>
      <w:tr>
        <w:tc>
          <w:tcPr>
            <w:tcW w:type="dxa" w:w="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4</w:t>
            </w:r>
          </w:p>
        </w:tc>
        <w:tc>
          <w:tcPr>
            <w:tcW w:type="dxa" w:w="26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Document founder/team industry credentials</w:t>
            </w:r>
          </w:p>
        </w:tc>
        <w:tc>
          <w:tcPr>
            <w:tcW w:type="dxa" w:w="6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Pre-revenue valuations are heavily tied to team. Any crane/rigging industry experience, prior software exits, or domain expertise can add $500K–$2M.</w:t>
            </w:r>
          </w:p>
        </w:tc>
      </w:tr>
      <w:tr>
        <w:tc>
          <w:tcPr>
            <w:tcW w:type="dxa" w:w="4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5</w:t>
            </w:r>
          </w:p>
        </w:tc>
        <w:tc>
          <w:tcPr>
            <w:tcW w:type="dxa" w:w="26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Complete QuickBooks integration</w:t>
            </w:r>
          </w:p>
        </w:tc>
        <w:tc>
          <w:tcPr>
            <w:tcW w:type="dxa" w:w="6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This single feature is cited as a non-negotiable by office managers across all contractor types. Demonstrating it removes a key objection.</w:t>
            </w:r>
          </w:p>
        </w:tc>
      </w:tr>
      <w:tr>
        <w:tc>
          <w:tcPr>
            <w:tcW w:type="dxa" w:w="4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6</w:t>
            </w:r>
          </w:p>
        </w:tc>
        <w:tc>
          <w:tcPr>
            <w:tcW w:type="dxa" w:w="26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File provisional patent on unique features</w:t>
            </w:r>
          </w:p>
        </w:tc>
        <w:tc>
          <w:tcPr>
            <w:tcW w:type="dxa" w:w="6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Customer-specific rate overrides and live margin slider are novel enough to explore IP protection. Patent-pending status adds intangible value.</w:t>
            </w:r>
          </w:p>
        </w:tc>
      </w:tr>
    </w:tbl>
    <w:p>
      <w:pPr>
        <w:spacing w:before="28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6. Projected 5-Year Valuation Trajectory</w:t>
      </w:r>
    </w:p>
    <w:p>
      <w:pPr>
        <w:spacing w:before="60" w:after="100"/>
      </w:pPr>
      <w:r>
        <w:rPr>
          <w:rFonts w:ascii="Arial" w:cs="Arial" w:eastAsia="Arial" w:hAnsi="Arial"/>
          <w:color w:val="4A5568"/>
          <w:sz w:val="22"/>
          <w:szCs w:val="22"/>
        </w:rPr>
        <w:t xml:space="preserve">Assuming successful seed raise and execution against the moderate expansion scenario, here is the projected company valuation at each milestone: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800"/>
        <w:gridCol w:w="2360"/>
      </w:tblGrid>
      <w:tr>
        <w:trPr>
          <w:tblHeader/>
        </w:trPr>
        <w:tc>
          <w:tcPr>
            <w:tcW w:type="dxa" w:w="12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22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1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ARR</w:t>
            </w:r>
          </w:p>
        </w:tc>
        <w:tc>
          <w:tcPr>
            <w:tcW w:type="dxa" w:w="1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Multiple</w:t>
            </w:r>
          </w:p>
        </w:tc>
        <w:tc>
          <w:tcPr>
            <w:tcW w:type="dxa" w:w="236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Valuation</w:t>
            </w:r>
          </w:p>
        </w:tc>
      </w:tr>
      <w:tr>
        <w:tc>
          <w:tcPr>
            <w:tcW w:type="dxa" w:w="1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Now</w:t>
            </w:r>
          </w:p>
        </w:tc>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Prototype + LOIs</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$0</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N/A (risk-adj.)</w:t>
            </w:r>
          </w:p>
        </w:tc>
        <w:tc>
          <w:tcPr>
            <w:tcW w:type="dxa" w:w="2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$3M – $5M</w:t>
            </w:r>
          </w:p>
        </w:tc>
      </w:tr>
      <w:tr>
        <w:tc>
          <w:tcPr>
            <w:tcW w:type="dxa" w:w="1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Yr 1</w:t>
            </w:r>
          </w:p>
        </w:tc>
        <w:tc>
          <w:tcPr>
            <w:tcW w:type="dxa" w:w="2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5–10 paying customers</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$180K – $360K</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8–12×</w:t>
            </w:r>
          </w:p>
        </w:tc>
        <w:tc>
          <w:tcPr>
            <w:tcW w:type="dxa" w:w="2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$5M – $8M</w:t>
            </w:r>
          </w:p>
        </w:tc>
      </w:tr>
      <w:tr>
        <w:tc>
          <w:tcPr>
            <w:tcW w:type="dxa" w:w="1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Yr 2</w:t>
            </w:r>
          </w:p>
        </w:tc>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20–40 customers, mobile + QB live</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$720K – $1.4M</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10–15×</w:t>
            </w:r>
          </w:p>
        </w:tc>
        <w:tc>
          <w:tcPr>
            <w:tcW w:type="dxa" w:w="2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$10M – $21M</w:t>
            </w:r>
          </w:p>
        </w:tc>
      </w:tr>
      <w:tr>
        <w:tc>
          <w:tcPr>
            <w:tcW w:type="dxa" w:w="1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Yr 3</w:t>
            </w:r>
          </w:p>
        </w:tc>
        <w:tc>
          <w:tcPr>
            <w:tcW w:type="dxa" w:w="2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Phase 2 launched (millwright)</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$4M – $6.5M</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10–15×</w:t>
            </w:r>
          </w:p>
        </w:tc>
        <w:tc>
          <w:tcPr>
            <w:tcW w:type="dxa" w:w="23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$40M – $98M</w:t>
            </w:r>
          </w:p>
        </w:tc>
      </w:tr>
      <w:tr>
        <w:tc>
          <w:tcPr>
            <w:tcW w:type="dxa" w:w="1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Yr 5</w:t>
            </w:r>
          </w:p>
        </w:tc>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Phase 3 launched (specialty)</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$35M – $108M</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8–12×</w:t>
            </w:r>
          </w:p>
        </w:tc>
        <w:tc>
          <w:tcPr>
            <w:tcW w:type="dxa" w:w="23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$280M – $1.3B</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6"/>
              <w:left w:val="thick" w:color="C8860A" w:sz="18"/>
              <w:bottom w:val="single" w:color="C8860A" w:sz="6"/>
              <w:right w:val="none" w:color="C8860A" w:sz="0"/>
            </w:tcBorders>
            <w:shd w:fill="FEF3E2" w:val="clear"/>
            <w:tcMar>
              <w:top w:type="dxa" w:w="140"/>
              <w:left w:type="dxa" w:w="200"/>
              <w:bottom w:type="dxa" w:w="140"/>
              <w:right w:type="dxa" w:w="200"/>
            </w:tcMar>
          </w:tcPr>
          <w:p>
            <w:pPr>
              <w:spacing w:after="80"/>
            </w:pPr>
            <w:r>
              <w:rPr>
                <w:rFonts w:ascii="Arial" w:cs="Arial" w:eastAsia="Arial" w:hAnsi="Arial"/>
                <w:b/>
                <w:bCs/>
                <w:color w:val="C8860A"/>
                <w:sz w:val="24"/>
                <w:szCs w:val="24"/>
              </w:rPr>
              <w:t xml:space="preserve">Key Insight</w:t>
            </w:r>
          </w:p>
          <w:p>
            <w:r>
              <w:rPr>
                <w:rFonts w:ascii="Arial" w:cs="Arial" w:eastAsia="Arial" w:hAnsi="Arial"/>
                <w:color w:val="4A5568"/>
                <w:sz w:val="22"/>
                <w:szCs w:val="22"/>
              </w:rPr>
              <w:t xml:space="preserve">The Year 1–2 milestones are the critical inflection point. Reaching even $500K ARR (roughly 12 paying customers at Professional tier) shifts the company from 'angel/seed' to 'institutional seed/Series A' territory. At that stage, the valuation methodology changes entirely — from risk-adjusted frameworks to revenue multiples — and the numbers become dramatically more favorable.</w:t>
            </w:r>
          </w:p>
        </w:tc>
      </w:tr>
    </w:tbl>
    <w:p>
      <w:pPr>
        <w:spacing w:before="28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7. Comparable SaaS Valuations at Seed Stage</w:t>
      </w:r>
    </w:p>
    <w:p>
      <w:pPr>
        <w:spacing w:before="60" w:after="100"/>
      </w:pPr>
      <w:r>
        <w:rPr>
          <w:rFonts w:ascii="Arial" w:cs="Arial" w:eastAsia="Arial" w:hAnsi="Arial"/>
          <w:color w:val="4A5568"/>
          <w:sz w:val="22"/>
          <w:szCs w:val="22"/>
        </w:rPr>
        <w:t xml:space="preserve">The following comparable transactions in the construction tech and field service software space provide market context: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rPr>
          <w:tblHeader/>
        </w:trPr>
        <w:tc>
          <w:tcPr>
            <w:tcW w:type="dxa" w:w="22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Company</w:t>
            </w:r>
          </w:p>
        </w:tc>
        <w:tc>
          <w:tcPr>
            <w:tcW w:type="dxa" w:w="20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Segment</w:t>
            </w:r>
          </w:p>
        </w:tc>
        <w:tc>
          <w:tcPr>
            <w:tcW w:type="dxa" w:w="1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Seed Raise</w:t>
            </w:r>
          </w:p>
        </w:tc>
        <w:tc>
          <w:tcPr>
            <w:tcW w:type="dxa" w:w="180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Pre-Money Val.</w:t>
            </w:r>
          </w:p>
        </w:tc>
        <w:tc>
          <w:tcPr>
            <w:tcW w:type="dxa" w:w="1560"/>
            <w:tcBorders>
              <w:top w:val="single" w:color="D8DEE8" w:sz="1"/>
              <w:left w:val="single" w:color="D8DEE8" w:sz="1"/>
              <w:bottom w:val="single" w:color="D8DEE8" w:sz="1"/>
              <w:right w:val="single" w:color="D8DEE8" w:sz="1"/>
            </w:tcBorders>
            <w:shd w:fill="1A2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 at Raise</w:t>
            </w:r>
          </w:p>
        </w:tc>
      </w:tr>
      <w:tr>
        <w:tc>
          <w:tcPr>
            <w:tcW w:type="dxa" w:w="22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Procore (early)</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Commercial GC</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$2.5M</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$8M est.</w:t>
            </w:r>
          </w:p>
        </w:tc>
        <w:tc>
          <w:tcPr>
            <w:tcW w:type="dxa" w:w="15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Working prototype</w:t>
            </w:r>
          </w:p>
        </w:tc>
      </w:tr>
      <w:tr>
        <w:tc>
          <w:tcPr>
            <w:tcW w:type="dxa" w:w="2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JobNimbus</w:t>
            </w:r>
          </w:p>
        </w:tc>
        <w:tc>
          <w:tcPr>
            <w:tcW w:type="dxa" w:w="20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Roofing CRM</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$1.3M</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$4M est.</w:t>
            </w:r>
          </w:p>
        </w:tc>
        <w:tc>
          <w:tcPr>
            <w:tcW w:type="dxa" w:w="15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Early revenue</w:t>
            </w:r>
          </w:p>
        </w:tc>
      </w:tr>
      <w:tr>
        <w:tc>
          <w:tcPr>
            <w:tcW w:type="dxa" w:w="22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Buildxact</w:t>
            </w:r>
          </w:p>
        </w:tc>
        <w:tc>
          <w:tcPr>
            <w:tcW w:type="dxa" w:w="20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Residential est.</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$4M AUD</w:t>
            </w:r>
          </w:p>
        </w:tc>
        <w:tc>
          <w:tcPr>
            <w:tcW w:type="dxa" w:w="180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$12M AUD est.</w:t>
            </w:r>
          </w:p>
        </w:tc>
        <w:tc>
          <w:tcPr>
            <w:tcW w:type="dxa" w:w="1560"/>
            <w:tcBorders>
              <w:top w:val="single" w:color="D8DEE8" w:sz="1"/>
              <w:left w:val="single" w:color="D8DEE8" w:sz="1"/>
              <w:bottom w:val="single" w:color="D8DEE8" w:sz="1"/>
              <w:right w:val="single" w:color="D8DEE8" w:sz="1"/>
            </w:tcBorders>
            <w:shd w:fill="F4F6F9" w:val="clear"/>
            <w:tcMar>
              <w:top w:type="dxa" w:w="100"/>
              <w:left w:type="dxa" w:w="140"/>
              <w:bottom w:type="dxa" w:w="100"/>
              <w:right w:type="dxa" w:w="140"/>
            </w:tcMar>
          </w:tcPr>
          <w:p>
            <w:r>
              <w:rPr>
                <w:rFonts w:ascii="Arial" w:cs="Arial" w:eastAsia="Arial" w:hAnsi="Arial"/>
                <w:color w:val="4A5568"/>
                <w:sz w:val="21"/>
                <w:szCs w:val="21"/>
              </w:rPr>
              <w:t xml:space="preserve">Small ARR</w:t>
            </w:r>
          </w:p>
        </w:tc>
      </w:tr>
      <w:tr>
        <w:tc>
          <w:tcPr>
            <w:tcW w:type="dxa" w:w="22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FieldPulse</w:t>
            </w:r>
          </w:p>
        </w:tc>
        <w:tc>
          <w:tcPr>
            <w:tcW w:type="dxa" w:w="20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Field service</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$3M</w:t>
            </w:r>
          </w:p>
        </w:tc>
        <w:tc>
          <w:tcPr>
            <w:tcW w:type="dxa" w:w="180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$10M est.</w:t>
            </w:r>
          </w:p>
        </w:tc>
        <w:tc>
          <w:tcPr>
            <w:tcW w:type="dxa" w:w="1560"/>
            <w:tcBorders>
              <w:top w:val="single" w:color="D8DEE8" w:sz="1"/>
              <w:left w:val="single" w:color="D8DEE8" w:sz="1"/>
              <w:bottom w:val="single" w:color="D8DEE8" w:sz="1"/>
              <w:right w:val="single" w:color="D8DEE8" w:sz="1"/>
            </w:tcBorders>
            <w:tcMar>
              <w:top w:type="dxa" w:w="100"/>
              <w:left w:type="dxa" w:w="140"/>
              <w:bottom w:type="dxa" w:w="100"/>
              <w:right w:type="dxa" w:w="140"/>
            </w:tcMar>
          </w:tcPr>
          <w:p>
            <w:r>
              <w:rPr>
                <w:rFonts w:ascii="Arial" w:cs="Arial" w:eastAsia="Arial" w:hAnsi="Arial"/>
                <w:color w:val="4A5568"/>
                <w:sz w:val="21"/>
                <w:szCs w:val="21"/>
              </w:rPr>
              <w:t xml:space="preserve">Early revenue</w:t>
            </w:r>
          </w:p>
        </w:tc>
      </w:tr>
      <w:tr>
        <w:tc>
          <w:tcPr>
            <w:tcW w:type="dxa" w:w="22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Similar niche SaaS</w:t>
            </w:r>
          </w:p>
        </w:tc>
        <w:tc>
          <w:tcPr>
            <w:tcW w:type="dxa" w:w="20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Construction tech</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$500K–$2M avg</w:t>
            </w:r>
          </w:p>
        </w:tc>
        <w:tc>
          <w:tcPr>
            <w:tcW w:type="dxa" w:w="180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$3M–$8M avg</w:t>
            </w:r>
          </w:p>
        </w:tc>
        <w:tc>
          <w:tcPr>
            <w:tcW w:type="dxa" w:w="1560"/>
            <w:tcBorders>
              <w:top w:val="single" w:color="D8DEE8" w:sz="1"/>
              <w:left w:val="single" w:color="D8DEE8" w:sz="1"/>
              <w:bottom w:val="single" w:color="D8DEE8" w:sz="1"/>
              <w:right w:val="single" w:color="D8DEE8" w:sz="1"/>
            </w:tcBorders>
            <w:shd w:fill="E1F5EE" w:val="clear"/>
            <w:tcMar>
              <w:top w:type="dxa" w:w="100"/>
              <w:left w:type="dxa" w:w="140"/>
              <w:bottom w:type="dxa" w:w="100"/>
              <w:right w:type="dxa" w:w="140"/>
            </w:tcMar>
          </w:tcPr>
          <w:p>
            <w:r>
              <w:rPr>
                <w:rFonts w:ascii="Arial" w:cs="Arial" w:eastAsia="Arial" w:hAnsi="Arial"/>
                <w:color w:val="4A5568"/>
                <w:sz w:val="21"/>
                <w:szCs w:val="21"/>
              </w:rPr>
              <w:t xml:space="preserve">Prototype/LOI</w:t>
            </w:r>
          </w:p>
        </w:tc>
      </w:tr>
    </w:tbl>
    <w:p>
      <w:pPr>
        <w:spacing w:before="280" w:after="0"/>
      </w:pPr>
      <w:r>
        <w:t xml:space="preserve"/>
      </w:r>
    </w:p>
    <w:p>
      <w:pPr>
        <w:pStyle w:val="Heading2"/>
        <w:pBdr>
          <w:bottom w:val="single" w:color="0D8C6A" w:sz="4" w:space="4"/>
        </w:pBdr>
        <w:spacing w:before="240" w:after="120"/>
      </w:pPr>
      <w:r>
        <w:rPr>
          <w:rFonts w:ascii="Arial" w:cs="Arial" w:eastAsia="Arial" w:hAnsi="Arial"/>
          <w:b/>
          <w:bCs/>
          <w:color w:val="0D8C6A"/>
          <w:sz w:val="26"/>
          <w:szCs w:val="26"/>
        </w:rPr>
        <w:t xml:space="preserve">8. Important Disclaimers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6"/>
              <w:left w:val="thick" w:color="C8860A" w:sz="18"/>
              <w:bottom w:val="single" w:color="C8860A" w:sz="6"/>
              <w:right w:val="none" w:color="C8860A" w:sz="0"/>
            </w:tcBorders>
            <w:shd w:fill="FFF3E2" w:val="clear"/>
            <w:tcMar>
              <w:top w:type="dxa" w:w="140"/>
              <w:left w:type="dxa" w:w="200"/>
              <w:bottom w:type="dxa" w:w="140"/>
              <w:right w:type="dxa" w:w="200"/>
            </w:tcMar>
          </w:tcPr>
          <w:p>
            <w:pPr>
              <w:spacing w:after="80"/>
            </w:pPr>
            <w:r>
              <w:rPr>
                <w:rFonts w:ascii="Arial" w:cs="Arial" w:eastAsia="Arial" w:hAnsi="Arial"/>
                <w:b/>
                <w:bCs/>
                <w:color w:val="C8860A"/>
                <w:sz w:val="24"/>
                <w:szCs w:val="24"/>
              </w:rPr>
              <w:t xml:space="preserve">Legal &amp; Financial Notice</w:t>
            </w:r>
          </w:p>
          <w:p>
            <w:pPr>
              <w:spacing w:before="0" w:after="80"/>
            </w:pPr>
            <w:r>
              <w:rPr>
                <w:rFonts w:ascii="Arial" w:cs="Arial" w:eastAsia="Arial" w:hAnsi="Arial"/>
                <w:i/>
                <w:iCs/>
                <w:color w:val="4A5568"/>
                <w:sz w:val="22"/>
                <w:szCs w:val="22"/>
              </w:rPr>
              <w:t xml:space="preserve">This document is prepared for discussion purposes only and does not constitute financial advice, legal advice, or a solicitation for investment. All valuations presented are estimates based on publicly available market data, comparable transactions, and standard early-stage valuation frameworks.</w:t>
            </w:r>
          </w:p>
          <w:p>
            <w:pPr>
              <w:spacing w:before="0" w:after="80"/>
            </w:pPr>
            <w:r>
              <w:rPr>
                <w:rFonts w:ascii="Arial" w:cs="Arial" w:eastAsia="Arial" w:hAnsi="Arial"/>
                <w:i/>
                <w:iCs/>
                <w:color w:val="4A5568"/>
                <w:sz w:val="22"/>
                <w:szCs w:val="22"/>
              </w:rPr>
              <w:t xml:space="preserve">Startup valuations are highly subjective and depend on numerous factors including but not limited to: team composition, market conditions, investor risk appetite, negotiation dynamics, and the specific terms of any investment instrument (SAFE, convertible note, priced round, etc.).</w:t>
            </w:r>
          </w:p>
          <w:p>
            <w:pPr>
              <w:spacing w:before="0" w:after="0"/>
            </w:pPr>
            <w:r>
              <w:rPr>
                <w:rFonts w:ascii="Arial" w:cs="Arial" w:eastAsia="Arial" w:hAnsi="Arial"/>
                <w:b/>
                <w:bCs/>
                <w:color w:val="1A2332"/>
                <w:sz w:val="22"/>
                <w:szCs w:val="22"/>
              </w:rPr>
              <w:t xml:space="preserve">Before approaching investors, you should engage: </w:t>
            </w:r>
            <w:r>
              <w:rPr>
                <w:rFonts w:ascii="Arial" w:cs="Arial" w:eastAsia="Arial" w:hAnsi="Arial"/>
                <w:i/>
                <w:iCs/>
                <w:color w:val="4A5568"/>
                <w:sz w:val="22"/>
                <w:szCs w:val="22"/>
              </w:rPr>
              <w:t xml:space="preserve">(1) a startup attorney experienced in venture financing to structure your cap table and investment documents; (2) a CPA or financial advisor familiar with SaaS business models; and (3) ideally an advisor with direct experience in construction tech fundraising.</w:t>
            </w:r>
          </w:p>
        </w:tc>
      </w:tr>
    </w:tbl>
    <w:p>
      <w:pPr>
        <w:spacing w:before="200" w:after="0"/>
      </w:pPr>
      <w:r>
        <w:t xml:space="preserve"/>
      </w:r>
    </w:p>
    <w:p>
      <w:pPr>
        <w:spacing w:before="60" w:after="100"/>
      </w:pPr>
      <w:r>
        <w:rPr>
          <w:rFonts w:ascii="Arial" w:cs="Arial" w:eastAsia="Arial" w:hAnsi="Arial"/>
          <w:i/>
          <w:iCs/>
          <w:color w:val="8A9BB0"/>
          <w:sz w:val="22"/>
          <w:szCs w:val="22"/>
        </w:rPr>
        <w:t xml:space="preserve">All competitor data, market size figures, and revenue projections referenced in this document are based on publicly available sources, third-party research, and industry estimates as of March 2026. Actual market conditions and competitive dynamics may differ.</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4"/>
      </w:pBdr>
      <w:tabs>
        <w:tab w:val="right" w:pos="9026"/>
      </w:tabs>
      <w:spacing w:before="80"/>
    </w:pPr>
    <w:r>
      <w:rPr>
        <w:rFonts w:ascii="Arial" w:cs="Arial" w:eastAsia="Arial" w:hAnsi="Arial"/>
        <w:i/>
        <w:iCs/>
        <w:color w:val="8A9BB0"/>
        <w:sz w:val="16"/>
        <w:szCs w:val="16"/>
      </w:rPr>
      <w:t xml:space="preserve">For investor discussion purposes only. Not financial or legal advice.</w:t>
    </w:r>
    <w:r>
      <w:rPr>
        <w:rFonts w:ascii="Arial" w:cs="Arial" w:eastAsia="Arial" w:hAnsi="Arial"/>
        <w:color w:val="8A9BB0"/>
        <w:sz w:val="16"/>
        <w:szCs w:val="16"/>
      </w:rPr>
      <w:t xml:space="preserve">Page </w:t>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8C6A" w:sz="4" w:space="4"/>
      </w:pBdr>
      <w:tabs>
        <w:tab w:val="right" w:pos="9026"/>
      </w:tabs>
      <w:spacing w:after="120"/>
    </w:pPr>
    <w:r>
      <w:rPr>
        <w:rFonts w:ascii="Arial" w:cs="Arial" w:eastAsia="Arial" w:hAnsi="Arial"/>
        <w:b/>
        <w:bCs/>
        <w:color w:val="0D8C6A"/>
        <w:sz w:val="18"/>
        <w:szCs w:val="18"/>
      </w:rPr>
      <w:t xml:space="preserve">RigPro3 — Investor Valuation Analysis</w:t>
    </w:r>
    <w:r>
      <w:rPr>
        <w:rFonts w:ascii="Arial" w:cs="Arial" w:eastAsia="Arial" w:hAnsi="Arial"/>
        <w:sz w:val="18"/>
        <w:szCs w:val="18"/>
      </w:rPr>
      <w:t xml:space="preserve">	</w:t>
    </w:r>
    <w:r>
      <w:rPr>
        <w:rFonts w:ascii="Arial" w:cs="Arial" w:eastAsia="Arial" w:hAnsi="Arial"/>
        <w:i/>
        <w:iCs/>
        <w:color w:val="8A9BB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3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8C6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2026-03-19T18:45:02.970Z</dcterms:created>
  <dcterms:modified xsi:type="dcterms:W3CDTF">2026-03-19T18:45:02.971Z</dcterms:modified>
</cp:coreProperties>
</file>

<file path=docProps/custom.xml><?xml version="1.0" encoding="utf-8"?>
<Properties xmlns="http://schemas.openxmlformats.org/officeDocument/2006/custom-properties" xmlns:vt="http://schemas.openxmlformats.org/officeDocument/2006/docPropsVTypes"/>
</file>