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DATAPATH</w:t>
      </w:r>
    </w:p>
    <w:p>
      <w:pPr>
        <w:spacing w:after="100"/>
        <w:jc w:val="center"/>
      </w:pPr>
      <w:r>
        <w:rPr>
          <w:rFonts w:ascii="Arial" w:cs="Arial" w:eastAsia="Arial" w:hAnsi="Arial"/>
          <w:color w:val="2E75B6"/>
          <w:sz w:val="36"/>
          <w:szCs w:val="36"/>
        </w:rPr>
        <w:t xml:space="preserve">A First Principles Analysis</w:t>
      </w:r>
    </w:p>
    <w:p>
      <w:pPr>
        <w:pBdr>
          <w:bottom w:val="single" w:color="2E75B6" w:sz="6" w:space="1"/>
        </w:pBdr>
        <w:spacing w:after="600" w:before="80"/>
        <w:jc w:val="center"/>
      </w:pPr>
      <w:r>
        <w:rPr>
          <w:sz w:val="4"/>
          <w:szCs w:val="4"/>
        </w:rPr>
        <w:t xml:space="preserve"> </w:t>
      </w:r>
    </w:p>
    <w:p>
      <w:pPr>
        <w:spacing w:after="80" w:before="200"/>
        <w:jc w:val="center"/>
      </w:pPr>
      <w:r>
        <w:rPr>
          <w:rFonts w:ascii="Arial" w:cs="Arial" w:eastAsia="Arial" w:hAnsi="Arial"/>
          <w:color w:val="666666"/>
          <w:sz w:val="26"/>
          <w:szCs w:val="26"/>
        </w:rPr>
        <w:t xml:space="preserve">Applying the Musk / Huang Framework</w:t>
      </w:r>
    </w:p>
    <w:p>
      <w:pPr>
        <w:spacing w:after="80"/>
        <w:jc w:val="center"/>
      </w:pPr>
      <w:r>
        <w:rPr>
          <w:rFonts w:ascii="Arial" w:cs="Arial" w:eastAsia="Arial" w:hAnsi="Arial"/>
          <w:color w:val="666666"/>
          <w:sz w:val="26"/>
          <w:szCs w:val="26"/>
        </w:rPr>
        <w:t xml:space="preserve">to an MSP Preparing for PE Exit</w:t>
      </w:r>
    </w:p>
    <w:p>
      <w:pPr>
        <w:spacing w:before="600"/>
        <w:jc w:val="center"/>
      </w:pPr>
      <w:r>
        <w:rPr>
          <w:rFonts w:ascii="Arial" w:cs="Arial" w:eastAsia="Arial" w:hAnsi="Arial"/>
          <w:b/>
          <w:bCs/>
          <w:color w:val="CC0000"/>
          <w:sz w:val="20"/>
          <w:szCs w:val="20"/>
        </w:rPr>
        <w:t xml:space="preserve">CONFIDENTIAL</w:t>
      </w:r>
    </w:p>
    <w:p>
      <w:pPr>
        <w:spacing w:before="80"/>
        <w:jc w:val="center"/>
      </w:pPr>
      <w:r>
        <w:rPr>
          <w:rFonts w:ascii="Arial" w:cs="Arial" w:eastAsia="Arial" w:hAnsi="Arial"/>
          <w:color w:val="666666"/>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B3A5C"/>
          <w:sz w:val="32"/>
          <w:szCs w:val="32"/>
        </w:rPr>
        <w:t xml:space="preserve">The Uncomfortable Starting Point</w:t>
      </w:r>
    </w:p>
    <w:p>
      <w:pPr>
        <w:spacing w:after="120" w:before="120" w:line="276"/>
      </w:pPr>
      <w:r>
        <w:rPr>
          <w:rFonts w:ascii="Arial" w:cs="Arial" w:eastAsia="Arial" w:hAnsi="Arial"/>
          <w:color w:val="333333"/>
          <w:sz w:val="22"/>
          <w:szCs w:val="22"/>
        </w:rPr>
        <w:t xml:space="preserve">First principles thinking demands we start with what is undeniably true, not what we wish were true. Here are Datapath’s fundamental truths:</w:t>
      </w:r>
    </w:p>
    <w:p>
      <w:pPr>
        <w:spacing w:after="120" w:before="120" w:line="276"/>
      </w:pPr>
      <w:r>
        <w:rPr>
          <w:rFonts w:ascii="Arial" w:cs="Arial" w:eastAsia="Arial" w:hAnsi="Arial"/>
          <w:b/>
          <w:bCs/>
          <w:color w:val="333333"/>
          <w:sz w:val="22"/>
          <w:szCs w:val="22"/>
        </w:rPr>
        <w:t xml:space="preserve">Revenue is in structural decline. </w:t>
      </w:r>
      <w:r>
        <w:rPr>
          <w:rFonts w:ascii="Arial" w:cs="Arial" w:eastAsia="Arial" w:hAnsi="Arial"/>
          <w:color w:val="333333"/>
          <w:sz w:val="22"/>
          <w:szCs w:val="22"/>
        </w:rPr>
        <w:t xml:space="preserve">$27.7M (2023) to $22.1M (2024) to $17.7M (2025). That’s a 20% year-over-year decline for two consecutive years. Q1 2026 annualizes to $16.2M. The business is shrinking. No amount of EBITDA optimization changes this fact. A PE buyer’s first question will be: “Where does this stabilize?”</w:t>
      </w:r>
    </w:p>
    <w:p>
      <w:pPr>
        <w:spacing w:after="120" w:before="120" w:line="276"/>
      </w:pPr>
      <w:r>
        <w:rPr>
          <w:rFonts w:ascii="Arial" w:cs="Arial" w:eastAsia="Arial" w:hAnsi="Arial"/>
          <w:b/>
          <w:bCs/>
          <w:color w:val="333333"/>
          <w:sz w:val="22"/>
          <w:szCs w:val="22"/>
        </w:rPr>
        <w:t xml:space="preserve">The company has 58 people generating $17.7M in revenue. </w:t>
      </w:r>
      <w:r>
        <w:rPr>
          <w:rFonts w:ascii="Arial" w:cs="Arial" w:eastAsia="Arial" w:hAnsi="Arial"/>
          <w:color w:val="333333"/>
          <w:sz w:val="22"/>
          <w:szCs w:val="22"/>
        </w:rPr>
        <w:t xml:space="preserve">That’s $306K per employee. Elite MSPs operate at $400K–$500K+. Datapath is carrying more people than the revenue base supports.</w:t>
      </w:r>
    </w:p>
    <w:p>
      <w:pPr>
        <w:spacing w:after="120" w:before="120" w:line="276"/>
      </w:pPr>
      <w:r>
        <w:rPr>
          <w:rFonts w:ascii="Arial" w:cs="Arial" w:eastAsia="Arial" w:hAnsi="Arial"/>
          <w:b/>
          <w:bCs/>
          <w:color w:val="333333"/>
          <w:sz w:val="22"/>
          <w:szCs w:val="22"/>
        </w:rPr>
        <w:t xml:space="preserve">73% of addbacks are non-recurring adjustments. </w:t>
      </w:r>
      <w:r>
        <w:rPr>
          <w:rFonts w:ascii="Arial" w:cs="Arial" w:eastAsia="Arial" w:hAnsi="Arial"/>
          <w:color w:val="333333"/>
          <w:sz w:val="22"/>
          <w:szCs w:val="22"/>
        </w:rPr>
        <w:t xml:space="preserve">Of the $1.3M in addbacks, only $404K (31%) are true normalization items. The rest are one-time costs that genuinely happened. A sophisticated PE buyer will scrutinize every line.</w:t>
      </w:r>
    </w:p>
    <w:p>
      <w:pPr>
        <w:spacing w:after="120" w:before="120" w:line="276"/>
      </w:pPr>
      <w:r>
        <w:rPr>
          <w:rFonts w:ascii="Arial" w:cs="Arial" w:eastAsia="Arial" w:hAnsi="Arial"/>
          <w:i/>
          <w:iCs/>
          <w:color w:val="666666"/>
          <w:sz w:val="22"/>
          <w:szCs w:val="22"/>
        </w:rPr>
        <w:t xml:space="preserve">These aren’t criticisms. They’re the physics of the business. Everything below works from these truths.</w:t>
      </w:r>
    </w:p>
    <w:p>
      <w:pP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Value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Benchmark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Revenue (2025)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$17,737,413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Revenue per Employee</w:t>
            </w:r>
          </w:p>
        </w:tc>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$306K</w:t>
            </w:r>
          </w:p>
        </w:tc>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$400–$500K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EBITDA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$1,595,160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EBITDA Margin</w:t>
            </w:r>
          </w:p>
        </w:tc>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9.0%</w:t>
            </w:r>
          </w:p>
        </w:tc>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15–20%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Adjusted EBITDA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$2,892,407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Adjusted EBITDA Margin</w:t>
            </w:r>
          </w:p>
        </w:tc>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16.3%</w:t>
            </w:r>
          </w:p>
        </w:tc>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18–25%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Gross Profit Margin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37.5%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45–55%</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Headcount</w:t>
            </w:r>
          </w:p>
        </w:tc>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58</w:t>
            </w:r>
          </w:p>
        </w:tc>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40–44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Q1 2026 Annualized Revenue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$16.2M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w:t>
            </w:r>
          </w:p>
        </w:tc>
      </w:tr>
    </w:tbl>
    <w:p>
      <w:pPr>
        <w:pBdr>
          <w:bottom w:val="single" w:color="2E75B6" w:sz="6" w:space="1"/>
        </w:pBdr>
        <w:spacing w:after="200" w:before="200"/>
      </w:pPr>
      <w:r>
        <w:rPr>
          <w:rFonts w:ascii="Arial" w:cs="Arial" w:eastAsia="Arial" w:hAnsi="Arial"/>
          <w:sz w:val="4"/>
          <w:szCs w:val="4"/>
        </w:rPr>
        <w:t xml:space="preserve"> </w:t>
      </w:r>
    </w:p>
    <w:p>
      <w:pPr>
        <w:pStyle w:val="Heading1"/>
        <w:spacing w:after="160" w:before="360"/>
      </w:pPr>
      <w:r>
        <w:rPr>
          <w:rFonts w:ascii="Arial" w:cs="Arial" w:eastAsia="Arial" w:hAnsi="Arial"/>
          <w:b/>
          <w:bCs/>
          <w:color w:val="1B3A5C"/>
          <w:sz w:val="32"/>
          <w:szCs w:val="32"/>
        </w:rPr>
        <w:t xml:space="preserve">Musk’s 5-Step Process Applied to Datapath</w:t>
      </w:r>
    </w:p>
    <w:p>
      <w:pPr>
        <w:pStyle w:val="Heading2"/>
        <w:spacing w:after="160" w:before="240"/>
      </w:pPr>
      <w:r>
        <w:rPr>
          <w:rFonts w:ascii="Arial" w:cs="Arial" w:eastAsia="Arial" w:hAnsi="Arial"/>
          <w:b/>
          <w:bCs/>
          <w:color w:val="1B3A5C"/>
          <w:sz w:val="28"/>
          <w:szCs w:val="28"/>
        </w:rPr>
        <w:t xml:space="preserve">Step 1: Question Every Requirement</w:t>
      </w:r>
    </w:p>
    <w:p>
      <w:pPr>
        <w:pBdr>
          <w:left w:val="single" w:color="2E75B6" w:sz="12" w:space="8"/>
        </w:pBdr>
        <w:spacing w:after="160" w:before="160"/>
        <w:ind w:left="360" w:right="360"/>
      </w:pPr>
      <w:r>
        <w:rPr>
          <w:rFonts w:ascii="Arial" w:cs="Arial" w:eastAsia="Arial" w:hAnsi="Arial"/>
          <w:i/>
          <w:iCs/>
          <w:color w:val="666666"/>
          <w:sz w:val="22"/>
          <w:szCs w:val="22"/>
        </w:rPr>
        <w:t xml:space="preserve">“The most common error is to optimize a thing that should not exist.”</w:t>
      </w:r>
    </w:p>
    <w:p>
      <w:pPr>
        <w:spacing w:after="120" w:before="120" w:line="276"/>
      </w:pPr>
      <w:r>
        <w:rPr>
          <w:rFonts w:ascii="Arial" w:cs="Arial" w:eastAsia="Arial" w:hAnsi="Arial"/>
          <w:b/>
          <w:bCs/>
          <w:color w:val="333333"/>
          <w:sz w:val="22"/>
          <w:szCs w:val="22"/>
        </w:rPr>
        <w:t xml:space="preserve">Why does Datapath have 8 revenue departments? </w:t>
      </w:r>
      <w:r>
        <w:rPr>
          <w:rFonts w:ascii="Arial" w:cs="Arial" w:eastAsia="Arial" w:hAnsi="Arial"/>
          <w:color w:val="333333"/>
          <w:sz w:val="22"/>
          <w:szCs w:val="22"/>
        </w:rPr>
        <w:t xml:space="preserve">Managed Services, Security, Cloud, Projects, Subcontracted, HW/SW Resale, AI Consulting ($0 revenue), and R&amp;D ($0 revenue). That’s 8 P&amp;L lines for a $17.7M company. The complexity of tracking, allocating labor, and reporting across 8 departments creates overhead that a business this size may not need. AI Consulting has generated zero revenue. R&amp;D is a cost center being funded by a company whose revenue is declining 20% annually.</w:t>
      </w:r>
    </w:p>
    <w:p>
      <w:pPr>
        <w:spacing w:after="120" w:before="120" w:line="276"/>
      </w:pPr>
      <w:r>
        <w:rPr>
          <w:rFonts w:ascii="Arial" w:cs="Arial" w:eastAsia="Arial" w:hAnsi="Arial"/>
          <w:i/>
          <w:iCs/>
          <w:color w:val="666666"/>
          <w:sz w:val="22"/>
          <w:szCs w:val="22"/>
        </w:rPr>
        <w:t xml:space="preserve">Question: Is the R&amp;D investment ($75K/mo) justified by a concrete revenue pipeline, or is it a bet being made with money the business doesn’t yet have?</w:t>
      </w:r>
    </w:p>
    <w:p>
      <w:pPr>
        <w:spacing w:after="120" w:before="120" w:line="276"/>
      </w:pPr>
      <w:r>
        <w:rPr>
          <w:rFonts w:ascii="Arial" w:cs="Arial" w:eastAsia="Arial" w:hAnsi="Arial"/>
          <w:b/>
          <w:bCs/>
          <w:color w:val="333333"/>
          <w:sz w:val="22"/>
          <w:szCs w:val="22"/>
        </w:rPr>
        <w:t xml:space="preserve">Why are there 11 contractor agencies and employment types? </w:t>
      </w:r>
      <w:r>
        <w:rPr>
          <w:rFonts w:ascii="Arial" w:cs="Arial" w:eastAsia="Arial" w:hAnsi="Arial"/>
          <w:color w:val="333333"/>
          <w:sz w:val="22"/>
          <w:szCs w:val="22"/>
        </w:rPr>
        <w:t xml:space="preserve">W-2 employees, BruntWork, Microsourcing, CRDLE, Gusto 1099, Direct 1099, and direct contractors. Each comes with its own billing cycle, management overhead, and legal complexity. Musk would ask: What is the actual cost per productive hour across all these employment types, and are the savings real after accounting for management overhead?</w:t>
      </w:r>
    </w:p>
    <w:p>
      <w:pPr>
        <w:spacing w:after="120" w:before="120" w:line="276"/>
      </w:pPr>
      <w:r>
        <w:rPr>
          <w:rFonts w:ascii="Arial" w:cs="Arial" w:eastAsia="Arial" w:hAnsi="Arial"/>
          <w:b/>
          <w:bCs/>
          <w:color w:val="333333"/>
          <w:sz w:val="22"/>
          <w:szCs w:val="22"/>
        </w:rPr>
        <w:t xml:space="preserve">Why is HW/SW Resale 29% of revenue but only contributing ~6% of gross profit dollars? </w:t>
      </w:r>
      <w:r>
        <w:rPr>
          <w:rFonts w:ascii="Arial" w:cs="Arial" w:eastAsia="Arial" w:hAnsi="Arial"/>
          <w:color w:val="333333"/>
          <w:sz w:val="22"/>
          <w:szCs w:val="22"/>
        </w:rPr>
        <w:t xml:space="preserve">At 22% margins, $5.1M in HW/SW Resale generates roughly $1.1M in gross profit. But it consumes procurement headcount (David Craig + 2 BruntWork = $8.4K/mo), warehouse space, shipping logistics, and management attention. Strip it out: core services revenue is $12.7M at 43.7% GP margins. The HW/SW business is diluting the margin story for PE.</w:t>
      </w:r>
    </w:p>
    <w:p>
      <w:pPr>
        <w:pStyle w:val="Heading2"/>
        <w:spacing w:after="160" w:before="240"/>
      </w:pPr>
      <w:r>
        <w:rPr>
          <w:rFonts w:ascii="Arial" w:cs="Arial" w:eastAsia="Arial" w:hAnsi="Arial"/>
          <w:b/>
          <w:bCs/>
          <w:color w:val="1B3A5C"/>
          <w:sz w:val="28"/>
          <w:szCs w:val="28"/>
        </w:rPr>
        <w:t xml:space="preserve">Step 2: Delete the Part</w:t>
      </w:r>
    </w:p>
    <w:p>
      <w:pPr>
        <w:pBdr>
          <w:left w:val="single" w:color="2E75B6" w:sz="12" w:space="8"/>
        </w:pBdr>
        <w:spacing w:after="160" w:before="160"/>
        <w:ind w:left="360" w:right="360"/>
      </w:pPr>
      <w:r>
        <w:rPr>
          <w:rFonts w:ascii="Arial" w:cs="Arial" w:eastAsia="Arial" w:hAnsi="Arial"/>
          <w:i/>
          <w:iCs/>
          <w:color w:val="666666"/>
          <w:sz w:val="22"/>
          <w:szCs w:val="22"/>
        </w:rPr>
        <w:t xml:space="preserve">“The best part is no part. The best process is no process.”</w:t>
      </w:r>
    </w:p>
    <w:p>
      <w:pPr>
        <w:spacing w:after="120" w:before="120" w:line="276"/>
      </w:pPr>
      <w:r>
        <w:rPr>
          <w:rFonts w:ascii="Arial" w:cs="Arial" w:eastAsia="Arial" w:hAnsi="Arial"/>
          <w:b/>
          <w:bCs/>
          <w:color w:val="333333"/>
          <w:sz w:val="22"/>
          <w:szCs w:val="22"/>
        </w:rPr>
        <w:t xml:space="preserve">HW/SW Resale as a standalone business. </w:t>
      </w:r>
      <w:r>
        <w:rPr>
          <w:rFonts w:ascii="Arial" w:cs="Arial" w:eastAsia="Arial" w:hAnsi="Arial"/>
          <w:color w:val="333333"/>
          <w:sz w:val="22"/>
          <w:szCs w:val="22"/>
        </w:rPr>
        <w:t xml:space="preserve">Consider: pass-through only (no inventory, no warehouse, no procurement team). Let vendors drop-ship. Margin drops but so does complexity, headcount, and working capital. The SNI backlog ($631K in products ordered not invoiced) is essentially trapped working capital.</w:t>
      </w:r>
    </w:p>
    <w:p>
      <w:pPr>
        <w:spacing w:after="120" w:before="120" w:line="276"/>
      </w:pPr>
      <w:r>
        <w:rPr>
          <w:rFonts w:ascii="Arial" w:cs="Arial" w:eastAsia="Arial" w:hAnsi="Arial"/>
          <w:b/>
          <w:bCs/>
          <w:color w:val="333333"/>
          <w:sz w:val="22"/>
          <w:szCs w:val="22"/>
        </w:rPr>
        <w:t xml:space="preserve">The two-CEO structure. </w:t>
      </w:r>
      <w:r>
        <w:rPr>
          <w:rFonts w:ascii="Arial" w:cs="Arial" w:eastAsia="Arial" w:hAnsi="Arial"/>
          <w:color w:val="333333"/>
          <w:sz w:val="22"/>
          <w:szCs w:val="22"/>
        </w:rPr>
        <w:t xml:space="preserve">No Musk or Huang company has ever had co-CEOs. This isn’t a judgment on James and David’s abilities — it’s a structural observation. Two CEOs means two visions, two compensation packages ($6.5K + $8.3K + $25.5K partnership expenses/mo), and decision-making friction. A PE buyer will almost certainly restructure this. The question is whether Datapath addresses it proactively (strength) or lets the buyer do it (weakness).</w:t>
      </w:r>
    </w:p>
    <w:p>
      <w:pPr>
        <w:spacing w:after="120" w:before="120" w:line="276"/>
      </w:pPr>
      <w:r>
        <w:rPr>
          <w:rFonts w:ascii="Arial" w:cs="Arial" w:eastAsia="Arial" w:hAnsi="Arial"/>
          <w:b/>
          <w:bCs/>
          <w:color w:val="333333"/>
          <w:sz w:val="22"/>
          <w:szCs w:val="22"/>
        </w:rPr>
        <w:t xml:space="preserve">Family member compensation ($42K/year). </w:t>
      </w:r>
      <w:r>
        <w:rPr>
          <w:rFonts w:ascii="Arial" w:cs="Arial" w:eastAsia="Arial" w:hAnsi="Arial"/>
          <w:color w:val="333333"/>
          <w:sz w:val="22"/>
          <w:szCs w:val="22"/>
        </w:rPr>
        <w:t xml:space="preserve">Colin Bates and Hudson Darmstandler earn $1,760/mo each. This is correctly identified as an addback, but from a first principles view: these roles either create value or they don’t. If they do, they aren’t addbacks. If they don’t, they shouldn’t exist now — not just in a PE buyer’s future.</w:t>
      </w:r>
    </w:p>
    <w:p>
      <w:pPr>
        <w:pStyle w:val="Heading2"/>
        <w:spacing w:after="160" w:before="240"/>
      </w:pPr>
      <w:r>
        <w:rPr>
          <w:rFonts w:ascii="Arial" w:cs="Arial" w:eastAsia="Arial" w:hAnsi="Arial"/>
          <w:b/>
          <w:bCs/>
          <w:color w:val="1B3A5C"/>
          <w:sz w:val="28"/>
          <w:szCs w:val="28"/>
        </w:rPr>
        <w:t xml:space="preserve">Step 3: Simplify and Optimize</w:t>
      </w:r>
    </w:p>
    <w:p>
      <w:pPr>
        <w:spacing w:after="120" w:before="120" w:line="276"/>
      </w:pPr>
      <w:r>
        <w:rPr>
          <w:rFonts w:ascii="Arial" w:cs="Arial" w:eastAsia="Arial" w:hAnsi="Arial"/>
          <w:b/>
          <w:bCs/>
          <w:color w:val="333333"/>
          <w:sz w:val="22"/>
          <w:szCs w:val="22"/>
        </w:rPr>
        <w:t xml:space="preserve">Revenue per employee is the master metric. </w:t>
      </w:r>
      <w:r>
        <w:rPr>
          <w:rFonts w:ascii="Arial" w:cs="Arial" w:eastAsia="Arial" w:hAnsi="Arial"/>
          <w:color w:val="333333"/>
          <w:sz w:val="22"/>
          <w:szCs w:val="22"/>
        </w:rPr>
        <w:t xml:space="preserve">At $306K/employee, Datapath is below MSP benchmarks. The math is unforgiving: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Scenario</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Headcount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Rev/Employee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Current State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58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$306K</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Target (at $17.7M)</w:t>
            </w:r>
          </w:p>
        </w:tc>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40–44</w:t>
            </w:r>
          </w:p>
        </w:tc>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$400–$440K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Target (at $20M)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45–50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$400–$440K</w:t>
            </w:r>
          </w:p>
        </w:tc>
      </w:tr>
    </w:tbl>
    <w:p>
      <w:pPr>
        <w:spacing w:after="120" w:before="160" w:line="276"/>
      </w:pPr>
      <w:r>
        <w:rPr>
          <w:rFonts w:ascii="Arial" w:cs="Arial" w:eastAsia="Arial" w:hAnsi="Arial"/>
          <w:color w:val="333333"/>
          <w:sz w:val="22"/>
          <w:szCs w:val="22"/>
        </w:rPr>
        <w:t xml:space="preserve">That gap of 14–18 people is roughly $1.2M–$1.5M in annual payroll savings — which would nearly double EBITDA.</w:t>
      </w:r>
    </w:p>
    <w:p>
      <w:pPr>
        <w:spacing w:after="120" w:before="120" w:line="276"/>
      </w:pPr>
      <w:r>
        <w:rPr>
          <w:rFonts w:ascii="Arial" w:cs="Arial" w:eastAsia="Arial" w:hAnsi="Arial"/>
          <w:b/>
          <w:bCs/>
          <w:color w:val="333333"/>
          <w:sz w:val="22"/>
          <w:szCs w:val="22"/>
        </w:rPr>
        <w:t xml:space="preserve">Labor allocation complexity is a symptom, not a solution. </w:t>
      </w:r>
      <w:r>
        <w:rPr>
          <w:rFonts w:ascii="Arial" w:cs="Arial" w:eastAsia="Arial" w:hAnsi="Arial"/>
          <w:color w:val="333333"/>
          <w:sz w:val="22"/>
          <w:szCs w:val="22"/>
        </w:rPr>
        <w:t xml:space="preserve">The legacy model puts all direct labor into MS COGS. The new model distributes by department using roster-based percentages. Both are allocation exercises — moving costs between buckets doesn’t change the total. The real question is: Are we spending the right total amount on labor, and is every person directly contributing to revenue or a customer outcome?</w:t>
      </w:r>
    </w:p>
    <w:p>
      <w:pPr>
        <w:pStyle w:val="Heading2"/>
        <w:spacing w:after="160" w:before="240"/>
      </w:pPr>
      <w:r>
        <w:rPr>
          <w:rFonts w:ascii="Arial" w:cs="Arial" w:eastAsia="Arial" w:hAnsi="Arial"/>
          <w:b/>
          <w:bCs/>
          <w:color w:val="1B3A5C"/>
          <w:sz w:val="28"/>
          <w:szCs w:val="28"/>
        </w:rPr>
        <w:t xml:space="preserve">Step 4: Accelerate</w:t>
      </w:r>
    </w:p>
    <w:p>
      <w:pPr>
        <w:spacing w:after="120" w:before="120" w:line="276"/>
      </w:pPr>
      <w:r>
        <w:rPr>
          <w:rFonts w:ascii="Arial" w:cs="Arial" w:eastAsia="Arial" w:hAnsi="Arial"/>
          <w:b/>
          <w:bCs/>
          <w:color w:val="333333"/>
          <w:sz w:val="22"/>
          <w:szCs w:val="22"/>
        </w:rPr>
        <w:t xml:space="preserve">The AI investment should be generating revenue, not consuming it. </w:t>
      </w:r>
      <w:r>
        <w:rPr>
          <w:rFonts w:ascii="Arial" w:cs="Arial" w:eastAsia="Arial" w:hAnsi="Arial"/>
          <w:color w:val="333333"/>
          <w:sz w:val="22"/>
          <w:szCs w:val="22"/>
        </w:rPr>
        <w:t xml:space="preserve">Datapath is spending $75K/month on R&amp;D (5 people building AI solutions) with zero revenue to show for it. Huang would say: if AI is truly the future, go all-in — but with a revenue timeline. The Vision dashboard, AI consulting capability, and internal automation are interesting, but they need to translate into billable offerings within 6–12 months or the investment is premature for a company in revenue decline.</w:t>
      </w:r>
    </w:p>
    <w:p>
      <w:pPr>
        <w:spacing w:after="120" w:before="120" w:line="276"/>
      </w:pPr>
      <w:r>
        <w:rPr>
          <w:rFonts w:ascii="Arial" w:cs="Arial" w:eastAsia="Arial" w:hAnsi="Arial"/>
          <w:b/>
          <w:bCs/>
          <w:color w:val="333333"/>
          <w:sz w:val="22"/>
          <w:szCs w:val="22"/>
        </w:rPr>
        <w:t xml:space="preserve">Monthly close speed matters for PE. </w:t>
      </w:r>
      <w:r>
        <w:rPr>
          <w:rFonts w:ascii="Arial" w:cs="Arial" w:eastAsia="Arial" w:hAnsi="Arial"/>
          <w:color w:val="333333"/>
          <w:sz w:val="22"/>
          <w:szCs w:val="22"/>
        </w:rPr>
        <w:t xml:space="preserve">The March P&amp;L is “preliminary” in mid-April. Quarterly capitalized payroll catch-ups, franchise tax lumps, and retroactive R&amp;D adjustments make month-over-month comparison noisy. PE buyers want clean, fast monthly closes. Push Citrin to normalize monthly.</w:t>
      </w:r>
    </w:p>
    <w:p>
      <w:pPr>
        <w:pStyle w:val="Heading2"/>
        <w:spacing w:after="160" w:before="240"/>
      </w:pPr>
      <w:r>
        <w:rPr>
          <w:rFonts w:ascii="Arial" w:cs="Arial" w:eastAsia="Arial" w:hAnsi="Arial"/>
          <w:b/>
          <w:bCs/>
          <w:color w:val="1B3A5C"/>
          <w:sz w:val="28"/>
          <w:szCs w:val="28"/>
        </w:rPr>
        <w:t xml:space="preserve">Step 5: Automate (Last)</w:t>
      </w:r>
    </w:p>
    <w:p>
      <w:pPr>
        <w:spacing w:after="120" w:before="120" w:line="276"/>
      </w:pPr>
      <w:r>
        <w:rPr>
          <w:rFonts w:ascii="Arial" w:cs="Arial" w:eastAsia="Arial" w:hAnsi="Arial"/>
          <w:b/>
          <w:bCs/>
          <w:color w:val="333333"/>
          <w:sz w:val="22"/>
          <w:szCs w:val="22"/>
        </w:rPr>
        <w:t xml:space="preserve">Don’t automate a broken process. </w:t>
      </w:r>
      <w:r>
        <w:rPr>
          <w:rFonts w:ascii="Arial" w:cs="Arial" w:eastAsia="Arial" w:hAnsi="Arial"/>
          <w:color w:val="333333"/>
          <w:sz w:val="22"/>
          <w:szCs w:val="22"/>
        </w:rPr>
        <w:t xml:space="preserve">Before investing in AI-powered service delivery, ensure the underlying service model is optimized. Automating a process that serves 58 employees’ workflows when the right number might be 42 locks in the wrong cost structure.</w:t>
      </w:r>
    </w:p>
    <w:p>
      <w:pPr>
        <w:pBdr>
          <w:bottom w:val="single" w:color="2E75B6" w:sz="6" w:space="1"/>
        </w:pBdr>
        <w:spacing w:after="200" w:before="200"/>
      </w:pPr>
      <w:r>
        <w:rPr>
          <w:rFonts w:ascii="Arial" w:cs="Arial" w:eastAsia="Arial" w:hAnsi="Arial"/>
          <w:sz w:val="4"/>
          <w:szCs w:val="4"/>
        </w:rPr>
        <w:t xml:space="preserve"> </w:t>
      </w:r>
    </w:p>
    <w:p>
      <w:pPr>
        <w:pStyle w:val="Heading1"/>
        <w:spacing w:after="160" w:before="360"/>
      </w:pPr>
      <w:r>
        <w:rPr>
          <w:rFonts w:ascii="Arial" w:cs="Arial" w:eastAsia="Arial" w:hAnsi="Arial"/>
          <w:b/>
          <w:bCs/>
          <w:color w:val="1B3A5C"/>
          <w:sz w:val="32"/>
          <w:szCs w:val="32"/>
        </w:rPr>
        <w:t xml:space="preserve">Huang’s “Intellectual Honesty” Audit</w:t>
      </w:r>
    </w:p>
    <w:p>
      <w:pPr>
        <w:pBdr>
          <w:left w:val="single" w:color="2E75B6" w:sz="12" w:space="8"/>
        </w:pBdr>
        <w:spacing w:after="160" w:before="160"/>
        <w:ind w:left="360" w:right="360"/>
      </w:pPr>
      <w:r>
        <w:rPr>
          <w:rFonts w:ascii="Arial" w:cs="Arial" w:eastAsia="Arial" w:hAnsi="Arial"/>
          <w:i/>
          <w:iCs/>
          <w:color w:val="666666"/>
          <w:sz w:val="22"/>
          <w:szCs w:val="22"/>
        </w:rPr>
        <w:t xml:space="preserve">“If you’re not intellectually honest, you can’t learn.”</w:t>
      </w:r>
    </w:p>
    <w:p>
      <w:pPr>
        <w:pStyle w:val="Heading2"/>
        <w:spacing w:after="160" w:before="240"/>
      </w:pPr>
      <w:r>
        <w:rPr>
          <w:rFonts w:ascii="Arial" w:cs="Arial" w:eastAsia="Arial" w:hAnsi="Arial"/>
          <w:b/>
          <w:bCs/>
          <w:color w:val="1B3A5C"/>
          <w:sz w:val="28"/>
          <w:szCs w:val="28"/>
        </w:rPr>
        <w:t xml:space="preserve">The Revenue Decline Story</w:t>
      </w:r>
    </w:p>
    <w:p>
      <w:pPr>
        <w:spacing w:after="120" w:before="120" w:line="276"/>
      </w:pPr>
      <w:r>
        <w:rPr>
          <w:rFonts w:ascii="Arial" w:cs="Arial" w:eastAsia="Arial" w:hAnsi="Arial"/>
          <w:color w:val="333333"/>
          <w:sz w:val="22"/>
          <w:szCs w:val="22"/>
        </w:rPr>
        <w:t xml:space="preserve">The 2023-to-2025 revenue decline ($27.7M to $17.7M, -36%) must be explained honestly. Some of it is intentional (shedding low-margin business, restructuring cloud accounting). But the core question remains: Is the $17.7M floor sustainable, or will it continue to erode?</w:t>
      </w:r>
    </w:p>
    <w:p>
      <w:pPr>
        <w:spacing w:after="120" w:before="120" w:line="276"/>
      </w:pPr>
      <w:r>
        <w:rPr>
          <w:rFonts w:ascii="Arial" w:cs="Arial" w:eastAsia="Arial" w:hAnsi="Arial"/>
          <w:color w:val="333333"/>
          <w:sz w:val="22"/>
          <w:szCs w:val="22"/>
        </w:rPr>
        <w:t xml:space="preserve">Q1 2026 annualizes to $16.2M. That’s another potential 9% decline. Project Services has collapsed from $101K/mo average in 2025 to $21K in Feb 2026 (March recovering to $59K). Cloud is flat. Security revenue, which should be the growth engine, is running at $150K/mo with no visible acceleration.</w:t>
      </w:r>
    </w:p>
    <w:p>
      <w:pPr>
        <w:spacing w:after="120" w:before="120" w:line="276"/>
      </w:pPr>
      <w:r>
        <w:rPr>
          <w:rFonts w:ascii="Arial" w:cs="Arial" w:eastAsia="Arial" w:hAnsi="Arial"/>
          <w:i/>
          <w:iCs/>
          <w:color w:val="666666"/>
          <w:sz w:val="22"/>
          <w:szCs w:val="22"/>
        </w:rPr>
        <w:t xml:space="preserve">A PE buyer pricing at 8–11x adjusted EBITDA is buying a multiple of future earnings. If revenue continues declining, that multiple compresses — regardless of how clean the addbacks are.</w:t>
      </w:r>
    </w:p>
    <w:p>
      <w:pPr>
        <w:pStyle w:val="Heading2"/>
        <w:spacing w:after="160" w:before="240"/>
      </w:pPr>
      <w:r>
        <w:rPr>
          <w:rFonts w:ascii="Arial" w:cs="Arial" w:eastAsia="Arial" w:hAnsi="Arial"/>
          <w:b/>
          <w:bCs/>
          <w:color w:val="1B3A5C"/>
          <w:sz w:val="28"/>
          <w:szCs w:val="28"/>
        </w:rPr>
        <w:t xml:space="preserve">The Labor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Labor Category</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Annual Cost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 of Revenue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Direct + Project Labor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~$3.2M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18%</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Sales Labor</w:t>
            </w:r>
          </w:p>
        </w:tc>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~$1.8M</w:t>
            </w:r>
          </w:p>
        </w:tc>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Admin Payroll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~$600K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3.4%</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R&amp;D (annualized)</w:t>
            </w:r>
          </w:p>
        </w:tc>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~$900K</w:t>
            </w:r>
          </w:p>
        </w:tc>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Labor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~$6.5M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37%</w:t>
            </w:r>
          </w:p>
        </w:tc>
      </w:tr>
    </w:tbl>
    <w:p>
      <w:pPr>
        <w:spacing w:after="120" w:before="120" w:line="276"/>
      </w:pPr>
      <w:r>
        <w:rPr>
          <w:rFonts w:ascii="Arial" w:cs="Arial" w:eastAsia="Arial" w:hAnsi="Arial"/>
          <w:color w:val="333333"/>
          <w:sz w:val="22"/>
          <w:szCs w:val="22"/>
        </w:rPr>
        <w:t xml:space="preserve">Add employer taxes, benefits, and contractor premiums and you’re approaching 42–45% of revenue consumed by people costs. That’s within range for MSPs, but at declining revenue, each person becomes more expensive in relative terms.</w:t>
      </w:r>
    </w:p>
    <w:p>
      <w:pPr>
        <w:pStyle w:val="Heading2"/>
        <w:spacing w:after="160" w:before="240"/>
      </w:pPr>
      <w:r>
        <w:rPr>
          <w:rFonts w:ascii="Arial" w:cs="Arial" w:eastAsia="Arial" w:hAnsi="Arial"/>
          <w:b/>
          <w:bCs/>
          <w:color w:val="1B3A5C"/>
          <w:sz w:val="28"/>
          <w:szCs w:val="28"/>
        </w:rPr>
        <w:t xml:space="preserve">Margin Paradox</w:t>
      </w:r>
    </w:p>
    <w:p>
      <w:pPr>
        <w:spacing w:after="120" w:before="120" w:line="276"/>
      </w:pPr>
      <w:r>
        <w:rPr>
          <w:rFonts w:ascii="Arial" w:cs="Arial" w:eastAsia="Arial" w:hAnsi="Arial"/>
          <w:color w:val="333333"/>
          <w:sz w:val="22"/>
          <w:szCs w:val="22"/>
        </w:rPr>
        <w:t xml:space="preserve">Gross profit margin improved from 35.6% (Jan 2025) to 39–40% (recent months), even as revenue declined. This could mean Datapath is shedding low-margin revenue (good) or that the denominator is shrinking faster than costs are being cut (concerning).</w:t>
      </w:r>
    </w:p>
    <w:p>
      <w:pPr>
        <w:spacing w:after="120" w:before="120" w:line="276"/>
      </w:pPr>
      <w:r>
        <w:rPr>
          <w:rFonts w:ascii="Arial" w:cs="Arial" w:eastAsia="Arial" w:hAnsi="Arial"/>
          <w:color w:val="333333"/>
          <w:sz w:val="22"/>
          <w:szCs w:val="22"/>
        </w:rPr>
        <w:t xml:space="preserve">The honest answer is probably both. Managed Services margins are strong (72%+ target). But the improving GP% is partially masked by HW/SW Resale — when product sales have a light month, GP% rises because low-margin revenue drops out.</w:t>
      </w:r>
    </w:p>
    <w:p>
      <w:pPr>
        <w:pBdr>
          <w:bottom w:val="single" w:color="2E75B6" w:sz="6" w:space="1"/>
        </w:pBdr>
        <w:spacing w:after="200" w:before="200"/>
      </w:pPr>
      <w:r>
        <w:rPr>
          <w:rFonts w:ascii="Arial" w:cs="Arial" w:eastAsia="Arial" w:hAnsi="Arial"/>
          <w:sz w:val="4"/>
          <w:szCs w:val="4"/>
        </w:rPr>
        <w:t xml:space="preserve"> </w:t>
      </w:r>
    </w:p>
    <w:p>
      <w:pPr>
        <w:pStyle w:val="Heading1"/>
        <w:spacing w:after="160" w:before="360"/>
      </w:pPr>
      <w:r>
        <w:rPr>
          <w:rFonts w:ascii="Arial" w:cs="Arial" w:eastAsia="Arial" w:hAnsi="Arial"/>
          <w:b/>
          <w:bCs/>
          <w:color w:val="1B3A5C"/>
          <w:sz w:val="32"/>
          <w:szCs w:val="32"/>
        </w:rPr>
        <w:t xml:space="preserve">Reasoning from the Future Backward</w:t>
      </w:r>
    </w:p>
    <w:p>
      <w:pPr>
        <w:pStyle w:val="Heading2"/>
        <w:spacing w:after="160" w:before="240"/>
      </w:pPr>
      <w:r>
        <w:rPr>
          <w:rFonts w:ascii="Arial" w:cs="Arial" w:eastAsia="Arial" w:hAnsi="Arial"/>
          <w:b/>
          <w:bCs/>
          <w:color w:val="1B3A5C"/>
          <w:sz w:val="28"/>
          <w:szCs w:val="28"/>
        </w:rPr>
        <w:t xml:space="preserve">What Does Datapath Look Like in 3 Years Under PE Ownership?</w:t>
      </w:r>
    </w:p>
    <w:p>
      <w:pPr>
        <w:spacing w:after="120" w:before="120" w:line="276"/>
      </w:pPr>
      <w:r>
        <w:rPr>
          <w:rFonts w:ascii="Arial" w:cs="Arial" w:eastAsia="Arial" w:hAnsi="Arial"/>
          <w:color w:val="333333"/>
          <w:sz w:val="22"/>
          <w:szCs w:val="22"/>
        </w:rPr>
        <w:t xml:space="preserve">A PE buyer acquiring at 8–11x ($30–$35M) needs to exit at 12–15x within 4–5 years. That means they need Datapath to become one of these:</w:t>
      </w:r>
    </w:p>
    <w:p>
      <w:pPr>
        <w:spacing w:after="120" w:before="120" w:line="276"/>
      </w:pPr>
      <w:r>
        <w:rPr>
          <w:rFonts w:ascii="Arial" w:cs="Arial" w:eastAsia="Arial" w:hAnsi="Arial"/>
          <w:b/>
          <w:bCs/>
          <w:color w:val="333333"/>
          <w:sz w:val="22"/>
          <w:szCs w:val="22"/>
        </w:rPr>
        <w:t xml:space="preserve">Scenario A: Platform MSP (~$40–50M revenue). </w:t>
      </w:r>
      <w:r>
        <w:rPr>
          <w:rFonts w:ascii="Arial" w:cs="Arial" w:eastAsia="Arial" w:hAnsi="Arial"/>
          <w:color w:val="333333"/>
          <w:sz w:val="22"/>
          <w:szCs w:val="22"/>
        </w:rPr>
        <w:t xml:space="preserve">Datapath becomes an acquisition platform. Buy 3–4 smaller MSPs at 4–6x, integrate them onto Datapath’s stack, and exit the combined entity at 12–15x. This is the most common PE playbook for MSPs. It requires: clean financials, a scalable service delivery model, and a management team that can integrate acquisitions.</w:t>
      </w:r>
    </w:p>
    <w:p>
      <w:pPr>
        <w:spacing w:after="120" w:before="120" w:line="276"/>
      </w:pPr>
      <w:r>
        <w:rPr>
          <w:rFonts w:ascii="Arial" w:cs="Arial" w:eastAsia="Arial" w:hAnsi="Arial"/>
          <w:b/>
          <w:bCs/>
          <w:color w:val="333333"/>
          <w:sz w:val="22"/>
          <w:szCs w:val="22"/>
        </w:rPr>
        <w:t xml:space="preserve">Scenario B: AI-Differentiated MSP (~$25–30M revenue). </w:t>
      </w:r>
      <w:r>
        <w:rPr>
          <w:rFonts w:ascii="Arial" w:cs="Arial" w:eastAsia="Arial" w:hAnsi="Arial"/>
          <w:color w:val="333333"/>
          <w:sz w:val="22"/>
          <w:szCs w:val="22"/>
        </w:rPr>
        <w:t xml:space="preserve">The R&amp;D investment pays off. AI consulting becomes a real revenue line. Datapath commands premium pricing because it offers capabilities competitors don’t. This requires: the R&amp;D team to ship revenue-generating products within 12 months, and the sales team to sell them.</w:t>
      </w:r>
    </w:p>
    <w:p>
      <w:pPr>
        <w:spacing w:after="120" w:before="120" w:line="276"/>
      </w:pPr>
      <w:r>
        <w:rPr>
          <w:rFonts w:ascii="Arial" w:cs="Arial" w:eastAsia="Arial" w:hAnsi="Arial"/>
          <w:b/>
          <w:bCs/>
          <w:color w:val="333333"/>
          <w:sz w:val="22"/>
          <w:szCs w:val="22"/>
        </w:rPr>
        <w:t xml:space="preserve">Scenario C: Optimized Cash Machine (~$18–20M revenue, 25%+ EBITDA margins). </w:t>
      </w:r>
      <w:r>
        <w:rPr>
          <w:rFonts w:ascii="Arial" w:cs="Arial" w:eastAsia="Arial" w:hAnsi="Arial"/>
          <w:color w:val="333333"/>
          <w:sz w:val="22"/>
          <w:szCs w:val="22"/>
        </w:rPr>
        <w:t xml:space="preserve">Revenue stabilizes. Aggressive cost optimization pushes EBITDA margins from 16% (adjusted) to 25%+. The business becomes a high-margin, stable cash generator. This requires: significant headcount reduction, shedding low-margin business lines, and accepting that growth comes from efficiency, not top-line expansion.</w:t>
      </w:r>
    </w:p>
    <w:p>
      <w:pPr>
        <w:spacing w:after="120" w:before="120" w:line="276"/>
      </w:pPr>
      <w:r>
        <w:rPr>
          <w:rFonts w:ascii="Arial" w:cs="Arial" w:eastAsia="Arial" w:hAnsi="Arial"/>
          <w:b/>
          <w:bCs/>
          <w:color w:val="333333"/>
          <w:sz w:val="22"/>
          <w:szCs w:val="22"/>
        </w:rPr>
        <w:t xml:space="preserve">Each scenario demands different actions today. But all three require the same foundation: honest financials, lean operations, and a clear narrative about where the money goes.</w:t>
      </w:r>
    </w:p>
    <w:p>
      <w:pPr>
        <w:pBdr>
          <w:bottom w:val="single" w:color="2E75B6" w:sz="6" w:space="1"/>
        </w:pBdr>
        <w:spacing w:after="200" w:before="200"/>
      </w:pPr>
      <w:r>
        <w:rPr>
          <w:rFonts w:ascii="Arial" w:cs="Arial" w:eastAsia="Arial" w:hAnsi="Arial"/>
          <w:sz w:val="4"/>
          <w:szCs w:val="4"/>
        </w:rPr>
        <w:t xml:space="preserve"> </w:t>
      </w:r>
    </w:p>
    <w:p>
      <w:pPr>
        <w:pageBreakBefore/>
      </w:pPr>
    </w:p>
    <w:p>
      <w:pPr>
        <w:pStyle w:val="Heading1"/>
        <w:spacing w:after="160" w:before="360"/>
      </w:pPr>
      <w:r>
        <w:rPr>
          <w:rFonts w:ascii="Arial" w:cs="Arial" w:eastAsia="Arial" w:hAnsi="Arial"/>
          <w:b/>
          <w:bCs/>
          <w:color w:val="1B3A5C"/>
          <w:sz w:val="32"/>
          <w:szCs w:val="32"/>
        </w:rPr>
        <w:t xml:space="preserve">The 10 Things a First Principles CEO Would Do Monday Morning</w:t>
      </w:r>
    </w:p>
    <w:p>
      <w:pPr>
        <w:spacing w:after="40" w:before="200" w:line="276"/>
      </w:pPr>
      <w:r>
        <w:rPr>
          <w:rFonts w:ascii="Arial" w:cs="Arial" w:eastAsia="Arial" w:hAnsi="Arial"/>
          <w:b/>
          <w:bCs/>
          <w:color w:val="2E75B6"/>
          <w:sz w:val="22"/>
          <w:szCs w:val="22"/>
        </w:rPr>
        <w:t xml:space="preserve">1. </w:t>
      </w:r>
      <w:r>
        <w:rPr>
          <w:rFonts w:ascii="Arial" w:cs="Arial" w:eastAsia="Arial" w:hAnsi="Arial"/>
          <w:b/>
          <w:bCs/>
          <w:color w:val="333333"/>
          <w:sz w:val="22"/>
          <w:szCs w:val="22"/>
        </w:rPr>
        <w:t xml:space="preserve">Demand a revenue stabilization plan with specific account-level detail.</w:t>
      </w:r>
    </w:p>
    <w:p>
      <w:pPr>
        <w:spacing w:after="160" w:before="40" w:line="276"/>
      </w:pPr>
      <w:r>
        <w:rPr>
          <w:rFonts w:ascii="Arial" w:cs="Arial" w:eastAsia="Arial" w:hAnsi="Arial"/>
          <w:color w:val="666666"/>
          <w:sz w:val="22"/>
          <w:szCs w:val="22"/>
        </w:rPr>
        <w:t xml:space="preserve">Which clients are growing? Which are shrinking? What’s the actual net MRR movement per month? The CRM shows $335K MRR “won” but P&amp;L growth doesn’t match — close that gap.</w:t>
      </w:r>
    </w:p>
    <w:p>
      <w:pPr>
        <w:spacing w:after="40" w:before="200" w:line="276"/>
      </w:pPr>
      <w:r>
        <w:rPr>
          <w:rFonts w:ascii="Arial" w:cs="Arial" w:eastAsia="Arial" w:hAnsi="Arial"/>
          <w:b/>
          <w:bCs/>
          <w:color w:val="2E75B6"/>
          <w:sz w:val="22"/>
          <w:szCs w:val="22"/>
        </w:rPr>
        <w:t xml:space="preserve">2. </w:t>
      </w:r>
      <w:r>
        <w:rPr>
          <w:rFonts w:ascii="Arial" w:cs="Arial" w:eastAsia="Arial" w:hAnsi="Arial"/>
          <w:b/>
          <w:bCs/>
          <w:color w:val="333333"/>
          <w:sz w:val="22"/>
          <w:szCs w:val="22"/>
        </w:rPr>
        <w:t xml:space="preserve">Set a revenue-per-employee target of $400K and work backward.</w:t>
      </w:r>
    </w:p>
    <w:p>
      <w:pPr>
        <w:spacing w:after="160" w:before="40" w:line="276"/>
      </w:pPr>
      <w:r>
        <w:rPr>
          <w:rFonts w:ascii="Arial" w:cs="Arial" w:eastAsia="Arial" w:hAnsi="Arial"/>
          <w:color w:val="666666"/>
          <w:sz w:val="22"/>
          <w:szCs w:val="22"/>
        </w:rPr>
        <w:t xml:space="preserve">At $17.7M, that’s 44 people. Identify the 14 roles that could be consolidated, automated, or eliminated. This is painful but it’s $1.2M+ in annual savings — equivalent to adding another 40% to EBITDA.</w:t>
      </w:r>
    </w:p>
    <w:p>
      <w:pPr>
        <w:spacing w:after="40" w:before="200" w:line="276"/>
      </w:pPr>
      <w:r>
        <w:rPr>
          <w:rFonts w:ascii="Arial" w:cs="Arial" w:eastAsia="Arial" w:hAnsi="Arial"/>
          <w:b/>
          <w:bCs/>
          <w:color w:val="2E75B6"/>
          <w:sz w:val="22"/>
          <w:szCs w:val="22"/>
        </w:rPr>
        <w:t xml:space="preserve">3. </w:t>
      </w:r>
      <w:r>
        <w:rPr>
          <w:rFonts w:ascii="Arial" w:cs="Arial" w:eastAsia="Arial" w:hAnsi="Arial"/>
          <w:b/>
          <w:bCs/>
          <w:color w:val="333333"/>
          <w:sz w:val="22"/>
          <w:szCs w:val="22"/>
        </w:rPr>
        <w:t xml:space="preserve">Give R&amp;D a 6-month revenue deadline.</w:t>
      </w:r>
    </w:p>
    <w:p>
      <w:pPr>
        <w:spacing w:after="160" w:before="40" w:line="276"/>
      </w:pPr>
      <w:r>
        <w:rPr>
          <w:rFonts w:ascii="Arial" w:cs="Arial" w:eastAsia="Arial" w:hAnsi="Arial"/>
          <w:color w:val="666666"/>
          <w:sz w:val="22"/>
          <w:szCs w:val="22"/>
        </w:rPr>
        <w:t xml:space="preserve">The AI team should have a billable service offering by Q3 2026. If the Vision dashboard, AI consulting framework, or automation tools can’t generate client revenue in 6 months, the $75K/mo is better spent on sales and marketing.</w:t>
      </w:r>
    </w:p>
    <w:p>
      <w:pPr>
        <w:spacing w:after="40" w:before="200" w:line="276"/>
      </w:pPr>
      <w:r>
        <w:rPr>
          <w:rFonts w:ascii="Arial" w:cs="Arial" w:eastAsia="Arial" w:hAnsi="Arial"/>
          <w:b/>
          <w:bCs/>
          <w:color w:val="2E75B6"/>
          <w:sz w:val="22"/>
          <w:szCs w:val="22"/>
        </w:rPr>
        <w:t xml:space="preserve">4. </w:t>
      </w:r>
      <w:r>
        <w:rPr>
          <w:rFonts w:ascii="Arial" w:cs="Arial" w:eastAsia="Arial" w:hAnsi="Arial"/>
          <w:b/>
          <w:bCs/>
          <w:color w:val="333333"/>
          <w:sz w:val="22"/>
          <w:szCs w:val="22"/>
        </w:rPr>
        <w:t xml:space="preserve">Evaluate HW/SW Resale as pass-through only.</w:t>
      </w:r>
    </w:p>
    <w:p>
      <w:pPr>
        <w:spacing w:after="160" w:before="40" w:line="276"/>
      </w:pPr>
      <w:r>
        <w:rPr>
          <w:rFonts w:ascii="Arial" w:cs="Arial" w:eastAsia="Arial" w:hAnsi="Arial"/>
          <w:color w:val="666666"/>
          <w:sz w:val="22"/>
          <w:szCs w:val="22"/>
        </w:rPr>
        <w:t xml:space="preserve">Model the P&amp;L without procurement headcount and warehouse costs. If margins hold at 15–18% on a pass-through basis, the business is better off: less complexity, less working capital, cleaner margin story.</w:t>
      </w:r>
    </w:p>
    <w:p>
      <w:pPr>
        <w:spacing w:after="40" w:before="200" w:line="276"/>
      </w:pPr>
      <w:r>
        <w:rPr>
          <w:rFonts w:ascii="Arial" w:cs="Arial" w:eastAsia="Arial" w:hAnsi="Arial"/>
          <w:b/>
          <w:bCs/>
          <w:color w:val="2E75B6"/>
          <w:sz w:val="22"/>
          <w:szCs w:val="22"/>
        </w:rPr>
        <w:t xml:space="preserve">5. </w:t>
      </w:r>
      <w:r>
        <w:rPr>
          <w:rFonts w:ascii="Arial" w:cs="Arial" w:eastAsia="Arial" w:hAnsi="Arial"/>
          <w:b/>
          <w:bCs/>
          <w:color w:val="333333"/>
          <w:sz w:val="22"/>
          <w:szCs w:val="22"/>
        </w:rPr>
        <w:t xml:space="preserve">Push Citrin to monthly normalization of quarterly items.</w:t>
      </w:r>
    </w:p>
    <w:p>
      <w:pPr>
        <w:spacing w:after="160" w:before="40" w:line="276"/>
      </w:pPr>
      <w:r>
        <w:rPr>
          <w:rFonts w:ascii="Arial" w:cs="Arial" w:eastAsia="Arial" w:hAnsi="Arial"/>
          <w:color w:val="666666"/>
          <w:sz w:val="22"/>
          <w:szCs w:val="22"/>
        </w:rPr>
        <w:t xml:space="preserve">Franchise taxes, capitalized payroll, and R&amp;D retro adjustments should be spread monthly. Every quarter-end spike makes the business look lumpy to a PE buyer.</w:t>
      </w:r>
    </w:p>
    <w:p>
      <w:pPr>
        <w:spacing w:after="40" w:before="200" w:line="276"/>
      </w:pPr>
      <w:r>
        <w:rPr>
          <w:rFonts w:ascii="Arial" w:cs="Arial" w:eastAsia="Arial" w:hAnsi="Arial"/>
          <w:b/>
          <w:bCs/>
          <w:color w:val="2E75B6"/>
          <w:sz w:val="22"/>
          <w:szCs w:val="22"/>
        </w:rPr>
        <w:t xml:space="preserve">6. </w:t>
      </w:r>
      <w:r>
        <w:rPr>
          <w:rFonts w:ascii="Arial" w:cs="Arial" w:eastAsia="Arial" w:hAnsi="Arial"/>
          <w:b/>
          <w:bCs/>
          <w:color w:val="333333"/>
          <w:sz w:val="22"/>
          <w:szCs w:val="22"/>
        </w:rPr>
        <w:t xml:space="preserve">Build a 13-week rolling cash flow model.</w:t>
      </w:r>
    </w:p>
    <w:p>
      <w:pPr>
        <w:spacing w:after="160" w:before="40" w:line="276"/>
      </w:pPr>
      <w:r>
        <w:rPr>
          <w:rFonts w:ascii="Arial" w:cs="Arial" w:eastAsia="Arial" w:hAnsi="Arial"/>
          <w:color w:val="666666"/>
          <w:sz w:val="22"/>
          <w:szCs w:val="22"/>
        </w:rPr>
        <w:t xml:space="preserve">PE buyers will ask for this. The SNI backlog ($631K), quarterly tax payments, and payroll cycles create cash flow volatility that needs to be visible and managed.</w:t>
      </w:r>
    </w:p>
    <w:p>
      <w:pPr>
        <w:spacing w:after="40" w:before="200" w:line="276"/>
      </w:pPr>
      <w:r>
        <w:rPr>
          <w:rFonts w:ascii="Arial" w:cs="Arial" w:eastAsia="Arial" w:hAnsi="Arial"/>
          <w:b/>
          <w:bCs/>
          <w:color w:val="2E75B6"/>
          <w:sz w:val="22"/>
          <w:szCs w:val="22"/>
        </w:rPr>
        <w:t xml:space="preserve">7. </w:t>
      </w:r>
      <w:r>
        <w:rPr>
          <w:rFonts w:ascii="Arial" w:cs="Arial" w:eastAsia="Arial" w:hAnsi="Arial"/>
          <w:b/>
          <w:bCs/>
          <w:color w:val="333333"/>
          <w:sz w:val="22"/>
          <w:szCs w:val="22"/>
        </w:rPr>
        <w:t xml:space="preserve">Quantify the revenue decline story.</w:t>
      </w:r>
    </w:p>
    <w:p>
      <w:pPr>
        <w:spacing w:after="160" w:before="40" w:line="276"/>
      </w:pPr>
      <w:r>
        <w:rPr>
          <w:rFonts w:ascii="Arial" w:cs="Arial" w:eastAsia="Arial" w:hAnsi="Arial"/>
          <w:color w:val="666666"/>
          <w:sz w:val="22"/>
          <w:szCs w:val="22"/>
        </w:rPr>
        <w:t xml:space="preserve">Break the $27.7M → $17.7M decline into intentional vs. unintentional buckets. How much was shedding low-margin clients? How much was cloud restructuring? How much was organic churn? The PE narrative needs this.</w:t>
      </w:r>
    </w:p>
    <w:p>
      <w:pPr>
        <w:spacing w:after="40" w:before="200" w:line="276"/>
      </w:pPr>
      <w:r>
        <w:rPr>
          <w:rFonts w:ascii="Arial" w:cs="Arial" w:eastAsia="Arial" w:hAnsi="Arial"/>
          <w:b/>
          <w:bCs/>
          <w:color w:val="2E75B6"/>
          <w:sz w:val="22"/>
          <w:szCs w:val="22"/>
        </w:rPr>
        <w:t xml:space="preserve">8. </w:t>
      </w:r>
      <w:r>
        <w:rPr>
          <w:rFonts w:ascii="Arial" w:cs="Arial" w:eastAsia="Arial" w:hAnsi="Arial"/>
          <w:b/>
          <w:bCs/>
          <w:color w:val="333333"/>
          <w:sz w:val="22"/>
          <w:szCs w:val="22"/>
        </w:rPr>
        <w:t xml:space="preserve">Benchmark against top-quartile MSPs.</w:t>
      </w:r>
    </w:p>
    <w:p>
      <w:pPr>
        <w:spacing w:after="160" w:before="40" w:line="276"/>
      </w:pPr>
      <w:r>
        <w:rPr>
          <w:rFonts w:ascii="Arial" w:cs="Arial" w:eastAsia="Arial" w:hAnsi="Arial"/>
          <w:color w:val="666666"/>
          <w:sz w:val="22"/>
          <w:szCs w:val="22"/>
        </w:rPr>
        <w:t xml:space="preserve">Revenue per employee, GP per employee, EBITDA per employee, client retention rate, average revenue per client. Know where Datapath ranks and have a plan to close gaps.</w:t>
      </w:r>
    </w:p>
    <w:p>
      <w:pPr>
        <w:spacing w:after="40" w:before="200" w:line="276"/>
      </w:pPr>
      <w:r>
        <w:rPr>
          <w:rFonts w:ascii="Arial" w:cs="Arial" w:eastAsia="Arial" w:hAnsi="Arial"/>
          <w:b/>
          <w:bCs/>
          <w:color w:val="2E75B6"/>
          <w:sz w:val="22"/>
          <w:szCs w:val="22"/>
        </w:rPr>
        <w:t xml:space="preserve">9. </w:t>
      </w:r>
      <w:r>
        <w:rPr>
          <w:rFonts w:ascii="Arial" w:cs="Arial" w:eastAsia="Arial" w:hAnsi="Arial"/>
          <w:b/>
          <w:bCs/>
          <w:color w:val="333333"/>
          <w:sz w:val="22"/>
          <w:szCs w:val="22"/>
        </w:rPr>
        <w:t xml:space="preserve">Resolve the co-CEO structure before PE conversations.</w:t>
      </w:r>
    </w:p>
    <w:p>
      <w:pPr>
        <w:spacing w:after="160" w:before="40" w:line="276"/>
      </w:pPr>
      <w:r>
        <w:rPr>
          <w:rFonts w:ascii="Arial" w:cs="Arial" w:eastAsia="Arial" w:hAnsi="Arial"/>
          <w:color w:val="666666"/>
          <w:sz w:val="22"/>
          <w:szCs w:val="22"/>
        </w:rPr>
        <w:t xml:space="preserve">This doesn’t mean someone leaves. It means defining clear lanes: who owns operations, who owns product/R&amp;D, who is the face of the company to buyers. PE firms want a single accountable leader.</w:t>
      </w:r>
    </w:p>
    <w:p>
      <w:pPr>
        <w:spacing w:after="40" w:before="200" w:line="276"/>
      </w:pPr>
      <w:r>
        <w:rPr>
          <w:rFonts w:ascii="Arial" w:cs="Arial" w:eastAsia="Arial" w:hAnsi="Arial"/>
          <w:b/>
          <w:bCs/>
          <w:color w:val="2E75B6"/>
          <w:sz w:val="22"/>
          <w:szCs w:val="22"/>
        </w:rPr>
        <w:t xml:space="preserve">10. </w:t>
      </w:r>
      <w:r>
        <w:rPr>
          <w:rFonts w:ascii="Arial" w:cs="Arial" w:eastAsia="Arial" w:hAnsi="Arial"/>
          <w:b/>
          <w:bCs/>
          <w:color w:val="333333"/>
          <w:sz w:val="22"/>
          <w:szCs w:val="22"/>
        </w:rPr>
        <w:t xml:space="preserve">Stop optimizing the P&amp;L and start selling.</w:t>
      </w:r>
    </w:p>
    <w:p>
      <w:pPr>
        <w:spacing w:after="160" w:before="40" w:line="276"/>
      </w:pPr>
      <w:r>
        <w:rPr>
          <w:rFonts w:ascii="Arial" w:cs="Arial" w:eastAsia="Arial" w:hAnsi="Arial"/>
          <w:color w:val="666666"/>
          <w:sz w:val="22"/>
          <w:szCs w:val="22"/>
        </w:rPr>
        <w:t xml:space="preserve">The addback schedule is well-documented. The dashboard is built. The PE book is written. The single highest-ROI activity now is growing recurring revenue — every $100K in new MRR is worth $800K–$1.1M in enterprise value at exit multiples. That dwarfs any cost optimization.</w:t>
      </w:r>
    </w:p>
    <w:p>
      <w:pPr>
        <w:pBdr>
          <w:bottom w:val="single" w:color="2E75B6" w:sz="6" w:space="1"/>
        </w:pBdr>
        <w:spacing w:after="200" w:before="200"/>
      </w:pPr>
      <w:r>
        <w:rPr>
          <w:rFonts w:ascii="Arial" w:cs="Arial" w:eastAsia="Arial" w:hAnsi="Arial"/>
          <w:sz w:val="4"/>
          <w:szCs w:val="4"/>
        </w:rPr>
        <w:t xml:space="preserve"> </w:t>
      </w:r>
    </w:p>
    <w:p>
      <w:pPr>
        <w:spacing w:after="120" w:before="240" w:line="276"/>
      </w:pPr>
      <w:r>
        <w:rPr>
          <w:rFonts w:ascii="Arial" w:cs="Arial" w:eastAsia="Arial" w:hAnsi="Arial"/>
          <w:i/>
          <w:iCs/>
          <w:color w:val="666666"/>
          <w:sz w:val="22"/>
          <w:szCs w:val="22"/>
        </w:rPr>
        <w:t xml:space="preserve">Analysis prepared April 2026. All financial data from Datapath P&amp;L (Citrin Cooperman), internal dashboard, and management reports.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Datapath: First Principles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2026-04-15T18:40:21.583Z</dcterms:created>
  <dcterms:modified xsi:type="dcterms:W3CDTF">2026-04-15T18:40:21.583Z</dcterms:modified>
</cp:coreProperties>
</file>

<file path=docProps/custom.xml><?xml version="1.0" encoding="utf-8"?>
<Properties xmlns="http://schemas.openxmlformats.org/officeDocument/2006/custom-properties" xmlns:vt="http://schemas.openxmlformats.org/officeDocument/2006/docPropsVTypes"/>
</file>