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2025 Revenue Mix</w:t>
      </w:r>
    </w:p>
    <w:p>
      <w:pPr>
        <w:spacing w:after="3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Full Year (January – December 2025)  |  All Locations  |  Source: Citrin Cooperman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Total 2025 Revenue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3B82F6"/>
          <w:sz w:val="48"/>
          <w:szCs w:val="48"/>
        </w:rPr>
        <w:t xml:space="preserve">$17,754,712</w:t>
      </w:r>
    </w:p>
    <w:p>
      <w:pPr>
        <w:spacing w:after="300"/>
        <w:jc w:val="center"/>
      </w:pPr>
      <w:r>
        <w:drawing>
          <wp:inline distT="0" distB="0" distL="0" distR="0">
            <wp:extent cx="5524500" cy="2905125"/>
            <wp:effectExtent t="0" r="0" b="0" l="0"/>
            <wp:docPr id="1" name="RevenueMixChart" descr="Bar chart showing 2025 revenue by category" title="Revenue Mix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Revenue Breakdown by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00"/>
        <w:gridCol w:w="1500"/>
        <w:gridCol w:w="1460"/>
      </w:tblGrid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Product-Resale (VAR)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$7,377,601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41.6%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#1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Managed Services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$6,785,882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38.2%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#2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Security Services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$1,605,619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9.0%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#3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Projects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$1,217,477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6.9%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#4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Other (Cloud &amp; Hosting)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$768,133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4155"/>
                <w:sz w:val="21"/>
                <w:szCs w:val="21"/>
              </w:rPr>
              <w:t xml:space="preserve">4.3%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#5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TOTAL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$17,754,712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100.0%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Key Observations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Product-Resale (VAR) dominates at 41.6%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$7.4M in hardware, software licensing (M365), and product sales. This is the largest revenue segment but carries the lowest margins (~13–16%). High dependency on lumpy product deals creates revenue volatility.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Managed Services is the recurring core at 38.2%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$6.8M in managed IT, voice, backup, and E-Rate. This is the high-margin (88–93%) predictable revenue that drives premium MSP valuations. Target: grow to 50%+ of total revenue.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Services growing at 9.0%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$1.6M in managed security and security resale. High-growth opportunity (industry growing 25–30% annually). Acquirers pay 1.5–2x higher multiples for strong security practices.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Projects at 6.9%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$1.2M in project services and subcontracted work. Lumpy but important for client onboarding and migrations. 25% of project labor supports managed services operations.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&amp; Hosting is smallest at 4.3%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$768K in public/private cloud and SaaS. Growth opportunity as clients migrate from on-prem. Target 20%+ of revenue within 18 months through cloud management bundling.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Confidential  |  Datapath 2025 Revenue Mix  |  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color w:val="3B82F6"/>
        <w:sz w:val="16"/>
        <w:szCs w:val="16"/>
      </w:rPr>
      <w:t xml:space="preserve">DATAPATH</w:t>
    </w:r>
    <w:r>
      <w:rPr>
        <w:rFonts w:ascii="Arial" w:cs="Arial" w:eastAsia="Arial" w:hAnsi="Arial"/>
        <w:color w:val="94A3B8"/>
        <w:sz w:val="16"/>
        <w:szCs w:val="16"/>
      </w:rPr>
      <w:t xml:space="preserve">  |  Financial Command Center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12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33415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62e4cd892e1e5705e93e380a0f8a03d1568397c9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2026-03-19T21:12:17.917Z</dcterms:created>
  <dcterms:modified xsi:type="dcterms:W3CDTF">2026-03-19T21:12:17.917Z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