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Molecular Paradigms and Clinical Advancements in the Small-Molecule Management of Alpha- and Beta-Thalassemia: A Comprehensive Review of Pyruvate Kinase Activation, Iron Chelation, and Epigenetic Modulation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therapeutic landscape for alpha- and beta-thalassemia has undergone a paradigm shift between 2024 and 2026, transitioning from a heavy reliance on supportive care to the clinical implementation of disease-modifying small molecules. Thalassemia, a group of inherited blood disorders characterized by deficient production of </w:t>
      </w:r>
      <w:r w:rsidDel="00000000" w:rsidR="00000000" w:rsidRPr="00000000">
        <w:rPr>
          <w:rFonts w:ascii="Google Sans" w:cs="Google Sans" w:eastAsia="Google Sans" w:hAnsi="Google Sans"/>
        </w:rPr>
        <w:drawing>
          <wp:inline distB="19050" distT="19050" distL="19050" distR="19050">
            <wp:extent cx="118616" cy="237232"/>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114151" cy="228302"/>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14151" cy="228302"/>
                    </a:xfrm>
                    <a:prstGeom prst="rect"/>
                    <a:ln/>
                  </pic:spPr>
                </pic:pic>
              </a:graphicData>
            </a:graphic>
          </wp:inline>
        </w:drawing>
      </w:r>
      <w:r w:rsidDel="00000000" w:rsidR="00000000" w:rsidRPr="00000000">
        <w:rPr>
          <w:rFonts w:ascii="Google Sans" w:cs="Google Sans" w:eastAsia="Google Sans" w:hAnsi="Google Sans"/>
          <w:rtl w:val="0"/>
        </w:rPr>
        <w:t xml:space="preserve">-globin chains, results in an imbalance that precipitates the formation of unstable hemoglobin tetramers. These tetramers undergo oxidative denaturation, leading to the formation of Heinz bodies, which damage the red blood cell (RBC) membrane, cause premature hemolysis, and trigger ineffective erythropoiesis in the bone marrow.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biologics such as luspatercept have addressed erythroid maturation, the emergence of oral small molecules targeting metabolic, chelation, and epigenetic pathways represents a significant milestone for medicinal chemistry and global health.</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Classification and Pharmacological Rationale of Small-Molecule Therapies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Small-molecule interventions for thalassemia are strategically classified based on their point of interaction within the thalassemic pathophysiology. This classification reflects a shift toward addressing the metabolic exhaustion of the erythrocyte, the toxic accumulation of systemic iron, and the epigenetic silencing of compensatory fetal hemoglobin.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Pyruvate Kinase (PK) Activators: Metabolic Restoration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Pyruvate kinase is a foundational glycolytic enzyme that catalyzes the final irreversible step of glycolysis: the conversion of phosphoenolpyruvate (PEP) to pyruvate, coupled with the generation of adenosine triphosphate (ATP) from adenosine diphosphate (ADP). The red blood cell-specific isoform (PKR) is vital for maintaining the energetic integrity of the cell, supporting antioxidant defenses (e.g., the glutathione cycle) and ion-exchange pumps (e.g., </w:t>
      </w:r>
      <w:r w:rsidDel="00000000" w:rsidR="00000000" w:rsidRPr="00000000">
        <w:rPr>
          <w:rFonts w:ascii="Google Sans" w:cs="Google Sans" w:eastAsia="Google Sans" w:hAnsi="Google Sans"/>
        </w:rPr>
        <w:drawing>
          <wp:inline distB="19050" distT="19050" distL="19050" distR="19050">
            <wp:extent cx="746671" cy="22974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46671" cy="229745"/>
                    </a:xfrm>
                    <a:prstGeom prst="rect"/>
                    <a:ln/>
                  </pic:spPr>
                </pic:pic>
              </a:graphicData>
            </a:graphic>
          </wp:inline>
        </w:drawing>
      </w:r>
      <w:r w:rsidDel="00000000" w:rsidR="00000000" w:rsidRPr="00000000">
        <w:rPr>
          <w:rFonts w:ascii="Google Sans" w:cs="Google Sans" w:eastAsia="Google Sans" w:hAnsi="Google Sans"/>
          <w:rtl w:val="0"/>
        </w:rPr>
        <w:t xml:space="preserve">-ATPase).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In thalassemic erythrocytes, the high turnover of these defenses due to oxidative stress leads to an "ATP debt." Small-molecule PK activators function as allosteric modulators that bind to the PKR tetramer, stabilizing its active configuration and lowering the </w:t>
      </w:r>
      <w:r w:rsidDel="00000000" w:rsidR="00000000" w:rsidRPr="00000000">
        <w:rPr>
          <w:rFonts w:ascii="Google Sans" w:cs="Google Sans" w:eastAsia="Google Sans" w:hAnsi="Google Sans"/>
        </w:rPr>
        <w:drawing>
          <wp:inline distB="19050" distT="19050" distL="19050" distR="19050">
            <wp:extent cx="279053" cy="230941"/>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9053" cy="230941"/>
                    </a:xfrm>
                    <a:prstGeom prst="rect"/>
                    <a:ln/>
                  </pic:spPr>
                </pic:pic>
              </a:graphicData>
            </a:graphic>
          </wp:inline>
        </w:drawing>
      </w:r>
      <w:r w:rsidDel="00000000" w:rsidR="00000000" w:rsidRPr="00000000">
        <w:rPr>
          <w:rFonts w:ascii="Google Sans" w:cs="Google Sans" w:eastAsia="Google Sans" w:hAnsi="Google Sans"/>
          <w:rtl w:val="0"/>
        </w:rPr>
        <w:t xml:space="preserve"> for PEP.</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metabolic boosting increases ATP production and simultaneously reduces levels of 2,3-diphosphoglycerate (2,3-DPG), an allosteric inhibitor of hemoglobin-oxygen affinity. The reduction in 2,3-DPG increases oxygen affinity, which can stabilize thalassemic hemoglobin and reduce the precipitation of lone globin chains.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Iron Chelators: Sequestration and Detoxification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Chronic iron overload is the primary cause of morbidity and mortality in thalassemia, resulting both from the high iron burden of regular blood transfusions and from increased gastrointestinal absorption of iron driven by suppressed hepcidin levels.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Small-molecule chelators are designed to form high-affinity, stable complexes with ferric iron (</w:t>
      </w:r>
      <w:r w:rsidDel="00000000" w:rsidR="00000000" w:rsidRPr="00000000">
        <w:rPr>
          <w:rFonts w:ascii="Google Sans" w:cs="Google Sans" w:eastAsia="Google Sans" w:hAnsi="Google Sans"/>
        </w:rPr>
        <w:drawing>
          <wp:inline distB="19050" distT="19050" distL="19050" distR="19050">
            <wp:extent cx="404366" cy="231066"/>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rtl w:val="0"/>
        </w:rPr>
        <w:t xml:space="preserve">). These agents, such as deferasirox and deferiprone, possess specific coordination geometries—tri- or hexadentate—that allow them to sequester iron from labile plasma pools and organ tissues, facilitating its excretion through fecal or urinary routes.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medicinal chemistry of these agents focuses on achieving high selectivity for iron over essential minerals like zinc and calcium, while ensuring sufficient lipophilicity for oral absorption and cellular penetration.</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Fetal Hemoglobin (HbF) Inducers: Epigenetic Reactivation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reactivation of </w:t>
      </w:r>
      <w:r w:rsidDel="00000000" w:rsidR="00000000" w:rsidRPr="00000000">
        <w:rPr>
          <w:rFonts w:ascii="Google Sans" w:cs="Google Sans" w:eastAsia="Google Sans" w:hAnsi="Google Sans"/>
        </w:rPr>
        <w:drawing>
          <wp:inline distB="19050" distT="19050" distL="19050" distR="19050">
            <wp:extent cx="105668" cy="230548"/>
            <wp:effectExtent b="0" l="0" r="0" t="0"/>
            <wp:docPr id="1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05668" cy="230548"/>
                    </a:xfrm>
                    <a:prstGeom prst="rect"/>
                    <a:ln/>
                  </pic:spPr>
                </pic:pic>
              </a:graphicData>
            </a:graphic>
          </wp:inline>
        </w:drawing>
      </w:r>
      <w:r w:rsidDel="00000000" w:rsidR="00000000" w:rsidRPr="00000000">
        <w:rPr>
          <w:rFonts w:ascii="Google Sans" w:cs="Google Sans" w:eastAsia="Google Sans" w:hAnsi="Google Sans"/>
          <w:rtl w:val="0"/>
        </w:rPr>
        <w:t xml:space="preserve">-globin expression, which facilitates the formation of fetal hemoglobin (</w:t>
      </w:r>
      <w:r w:rsidDel="00000000" w:rsidR="00000000" w:rsidRPr="00000000">
        <w:rPr>
          <w:rFonts w:ascii="Google Sans" w:cs="Google Sans" w:eastAsia="Google Sans" w:hAnsi="Google Sans"/>
        </w:rPr>
        <w:drawing>
          <wp:inline distB="19050" distT="19050" distL="19050" distR="19050">
            <wp:extent cx="360908" cy="227942"/>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0908" cy="227942"/>
                    </a:xfrm>
                    <a:prstGeom prst="rect"/>
                    <a:ln/>
                  </pic:spPr>
                </pic:pic>
              </a:graphicData>
            </a:graphic>
          </wp:inline>
        </w:drawing>
      </w:r>
      <w:r w:rsidDel="00000000" w:rsidR="00000000" w:rsidRPr="00000000">
        <w:rPr>
          <w:rFonts w:ascii="Google Sans" w:cs="Google Sans" w:eastAsia="Google Sans" w:hAnsi="Google Sans"/>
          <w:rtl w:val="0"/>
        </w:rPr>
        <w:t xml:space="preserve">), is a highly validated strategy for beta-thalassemia. HbF can functionally replace adult </w:t>
      </w:r>
      <w:r w:rsidDel="00000000" w:rsidR="00000000" w:rsidRPr="00000000">
        <w:rPr>
          <w:rFonts w:ascii="Google Sans" w:cs="Google Sans" w:eastAsia="Google Sans" w:hAnsi="Google Sans"/>
        </w:rPr>
        <w:drawing>
          <wp:inline distB="19050" distT="19050" distL="19050" distR="19050">
            <wp:extent cx="114151" cy="228302"/>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14151" cy="228302"/>
                    </a:xfrm>
                    <a:prstGeom prst="rect"/>
                    <a:ln/>
                  </pic:spPr>
                </pic:pic>
              </a:graphicData>
            </a:graphic>
          </wp:inline>
        </w:drawing>
      </w:r>
      <w:r w:rsidDel="00000000" w:rsidR="00000000" w:rsidRPr="00000000">
        <w:rPr>
          <w:rFonts w:ascii="Google Sans" w:cs="Google Sans" w:eastAsia="Google Sans" w:hAnsi="Google Sans"/>
          <w:rtl w:val="0"/>
        </w:rPr>
        <w:t xml:space="preserve">-globin, thereby diluting the pool of lone </w:t>
      </w:r>
      <w:r w:rsidDel="00000000" w:rsidR="00000000" w:rsidRPr="00000000">
        <w:rPr>
          <w:rFonts w:ascii="Google Sans" w:cs="Google Sans" w:eastAsia="Google Sans" w:hAnsi="Google Sans"/>
        </w:rPr>
        <w:drawing>
          <wp:inline distB="19050" distT="19050" distL="19050" distR="19050">
            <wp:extent cx="118616" cy="237232"/>
            <wp:effectExtent b="0" l="0" r="0" t="0"/>
            <wp:docPr id="1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rtl w:val="0"/>
        </w:rPr>
        <w:t xml:space="preserve">-chains and reducing the underlying cause of hemolysis.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Historically, hydroxyurea has been the mainstay for HbF induction, but its efficacy in thalassemia is often limited.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Modern small-molecule research focuses on targeting the epigenetic repressors of the </w:t>
      </w:r>
      <w:r w:rsidDel="00000000" w:rsidR="00000000" w:rsidRPr="00000000">
        <w:rPr>
          <w:rFonts w:ascii="Google Sans" w:cs="Google Sans" w:eastAsia="Google Sans" w:hAnsi="Google Sans"/>
        </w:rPr>
        <w:drawing>
          <wp:inline distB="19050" distT="19050" distL="19050" distR="19050">
            <wp:extent cx="105668" cy="230548"/>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05668" cy="230548"/>
                    </a:xfrm>
                    <a:prstGeom prst="rect"/>
                    <a:ln/>
                  </pic:spPr>
                </pic:pic>
              </a:graphicData>
            </a:graphic>
          </wp:inline>
        </w:drawing>
      </w:r>
      <w:r w:rsidDel="00000000" w:rsidR="00000000" w:rsidRPr="00000000">
        <w:rPr>
          <w:rFonts w:ascii="Google Sans" w:cs="Google Sans" w:eastAsia="Google Sans" w:hAnsi="Google Sans"/>
          <w:rtl w:val="0"/>
        </w:rPr>
        <w:t xml:space="preserve">-globin promoter, specifically the Polycomb Repressive Complex 2 (PRC2) and its regulatory subunit Embryonic Ectoderm Development (EED). By inhibiting EED or the catalytic subunit EZH2, these molecules reduce the suppressive H3K27me3 histone marks, thereby "opening" the chromatin for </w:t>
      </w:r>
      <w:r w:rsidDel="00000000" w:rsidR="00000000" w:rsidRPr="00000000">
        <w:rPr>
          <w:rFonts w:ascii="Google Sans" w:cs="Google Sans" w:eastAsia="Google Sans" w:hAnsi="Google Sans"/>
        </w:rPr>
        <w:drawing>
          <wp:inline distB="19050" distT="19050" distL="19050" distR="19050">
            <wp:extent cx="105668" cy="230548"/>
            <wp:effectExtent b="0" l="0" r="0" t="0"/>
            <wp:docPr id="1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05668" cy="230548"/>
                    </a:xfrm>
                    <a:prstGeom prst="rect"/>
                    <a:ln/>
                  </pic:spPr>
                </pic:pic>
              </a:graphicData>
            </a:graphic>
          </wp:inline>
        </w:drawing>
      </w:r>
      <w:r w:rsidDel="00000000" w:rsidR="00000000" w:rsidRPr="00000000">
        <w:rPr>
          <w:rFonts w:ascii="Google Sans" w:cs="Google Sans" w:eastAsia="Google Sans" w:hAnsi="Google Sans"/>
          <w:rtl w:val="0"/>
        </w:rPr>
        <w:t xml:space="preserve">-globin transcription.</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Clinical Evaluation of Pyruvate Kinase Activators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clinical validation of PK activators, particularly mitapivat, has redefined the therapeutic goals for both non-transfusion-dependent (NTDT) and transfusion-dependent thalassemia (TDT). The years 2024 through 2026 have marked the global rollout of these agents following pivotal Phase 3 data readouts.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Mitapivat: The First-in-Class Allosteric Activator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Mitapivat, marketed as Aqvesme in the United States and Pyrukynd in other territories, received FDA approval in late 2025 for the treatment of anemia in adults with alpha- or beta-thalassemia.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landmark approval was predicated on the results of the ENERGIZE and ENERGIZE-T Phase 3 trials, which demonstrated the drug's ability to provide sustained hematologic improvement across various genotypes, including those with alpha-thalassemia for whom no prior therapies were approved.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ENERGIZE study, which evaluated 194 adults with NTDT, mitapivat (100 mg twice daily) achieved the primary endpoint of hemoglobin response—defined as an increase of </w:t>
      </w:r>
      <w:r w:rsidDel="00000000" w:rsidR="00000000" w:rsidRPr="00000000">
        <w:rPr>
          <w:rFonts w:ascii="Google Sans" w:cs="Google Sans" w:eastAsia="Google Sans" w:hAnsi="Google Sans"/>
        </w:rPr>
        <w:drawing>
          <wp:inline distB="19050" distT="19050" distL="19050" distR="19050">
            <wp:extent cx="287089" cy="220102"/>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7089" cy="220102"/>
                    </a:xfrm>
                    <a:prstGeom prst="rect"/>
                    <a:ln/>
                  </pic:spPr>
                </pic:pic>
              </a:graphicData>
            </a:graphic>
          </wp:inline>
        </w:drawing>
      </w:r>
      <w:r w:rsidDel="00000000" w:rsidR="00000000" w:rsidRPr="00000000">
        <w:rPr>
          <w:rFonts w:ascii="Google Sans" w:cs="Google Sans" w:eastAsia="Google Sans" w:hAnsi="Google Sans"/>
          <w:rtl w:val="0"/>
        </w:rPr>
        <w:t xml:space="preserve"> g/dL from baseline—in 42.3% of the treatment group, compared to only 1.6% in the placebo group.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Secondary outcomes included significant improvements in fatigue scores, as measured by the FACIT-Fatigue scale, and an increase in physical capacity demonstrated by the 6-minute walk test.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clinical significance of these findings lies in the drug's ability to not only improve laboratory markers but also to enhance the functional quality of life for symptomatic patients.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ENERGIZE-T trial focused on the TDT population, where 258 adults were randomized to receive mitapivat or placebo. The primary efficacy endpoint was a transfusion reduction response, specifically a </w:t>
      </w:r>
      <w:r w:rsidDel="00000000" w:rsidR="00000000" w:rsidRPr="00000000">
        <w:rPr>
          <w:rFonts w:ascii="Google Sans" w:cs="Google Sans" w:eastAsia="Google Sans" w:hAnsi="Google Sans"/>
        </w:rPr>
        <w:drawing>
          <wp:inline distB="19050" distT="19050" distL="19050" distR="19050">
            <wp:extent cx="466427" cy="190379"/>
            <wp:effectExtent b="0" l="0" r="0" t="0"/>
            <wp:docPr id="1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6427" cy="190379"/>
                    </a:xfrm>
                    <a:prstGeom prst="rect"/>
                    <a:ln/>
                  </pic:spPr>
                </pic:pic>
              </a:graphicData>
            </a:graphic>
          </wp:inline>
        </w:drawing>
      </w:r>
      <w:r w:rsidDel="00000000" w:rsidR="00000000" w:rsidRPr="00000000">
        <w:rPr>
          <w:rFonts w:ascii="Google Sans" w:cs="Google Sans" w:eastAsia="Google Sans" w:hAnsi="Google Sans"/>
          <w:rtl w:val="0"/>
        </w:rPr>
        <w:t xml:space="preserve"> decrease in red cell units transfused over a 12-week period. This was achieved by 30.4% of patients in the mitapivat arm, a statistically significant result compared to 12.6% in the placebo group.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10% of patients achieved transfusion independence during the study period, which highlights the potential for mitapivat to fundamentally alter the clinical course for heavily transfused individuals.</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Trial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ENERGIZE (NTDT)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ENERGIZE-T (TDT)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Participants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Endpoint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Hb Increase </w:t>
            </w:r>
            <w:r w:rsidDel="00000000" w:rsidR="00000000" w:rsidRPr="00000000">
              <w:rPr>
                <w:rFonts w:ascii="Google Sans" w:cs="Google Sans" w:eastAsia="Google Sans" w:hAnsi="Google Sans"/>
              </w:rPr>
              <w:drawing>
                <wp:inline distB="19050" distT="19050" distL="19050" distR="19050">
                  <wp:extent cx="287089" cy="220102"/>
                  <wp:effectExtent b="0" l="0" r="0" t="0"/>
                  <wp:docPr id="1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7089" cy="220102"/>
                          </a:xfrm>
                          <a:prstGeom prst="rect"/>
                          <a:ln/>
                        </pic:spPr>
                      </pic:pic>
                    </a:graphicData>
                  </a:graphic>
                </wp:inline>
              </w:drawing>
            </w:r>
            <w:r w:rsidDel="00000000" w:rsidR="00000000" w:rsidRPr="00000000">
              <w:rPr>
                <w:rFonts w:ascii="Google Sans" w:cs="Google Sans" w:eastAsia="Google Sans" w:hAnsi="Google Sans"/>
                <w:rtl w:val="0"/>
              </w:rPr>
              <w:t xml:space="preserve"> g/dL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66427" cy="190379"/>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6427" cy="190379"/>
                          </a:xfrm>
                          <a:prstGeom prst="rect"/>
                          <a:ln/>
                        </pic:spPr>
                      </pic:pic>
                    </a:graphicData>
                  </a:graphic>
                </wp:inline>
              </w:drawing>
            </w:r>
            <w:r w:rsidDel="00000000" w:rsidR="00000000" w:rsidRPr="00000000">
              <w:rPr>
                <w:rFonts w:ascii="Google Sans" w:cs="Google Sans" w:eastAsia="Google Sans" w:hAnsi="Google Sans"/>
                <w:rtl w:val="0"/>
              </w:rPr>
              <w:t xml:space="preserve"> Transfusion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Mitapivat Response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Placebo Response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Transfusion Independence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Common Adverse Events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Headache, Insomnia, Nausea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Headache, Initial Insomnia, Fatigue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Monitoring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Monthly Liver Function Tests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Monthly Liver Function Tests</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Source: Analysis of ENERGIZE and ENERGIZE-T trial data.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Mitapivat Safety: The Hepatocellular Injury Signal and REMS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mitapivat demonstrated robust efficacy, its safety profile is characterized by a specific risk of hepatocellular injury (HCI). During the Phase 3 program, five patients receiving mitapivat experienced adverse reactions suggestive of HCI, two of whom required hospitalization for severe transaminase elevations.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These events typically manifested within the first six months of treatment, with ALT levels rising to </w:t>
      </w:r>
      <w:r w:rsidDel="00000000" w:rsidR="00000000" w:rsidRPr="00000000">
        <w:rPr>
          <w:rFonts w:ascii="Google Sans" w:cs="Google Sans" w:eastAsia="Google Sans" w:hAnsi="Google Sans"/>
        </w:rPr>
        <w:drawing>
          <wp:inline distB="19050" distT="19050" distL="19050" distR="19050">
            <wp:extent cx="430560" cy="220064"/>
            <wp:effectExtent b="0" l="0" r="0" t="0"/>
            <wp:docPr id="2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30560" cy="220064"/>
                    </a:xfrm>
                    <a:prstGeom prst="rect"/>
                    <a:ln/>
                  </pic:spPr>
                </pic:pic>
              </a:graphicData>
            </a:graphic>
          </wp:inline>
        </w:drawing>
      </w:r>
      <w:r w:rsidDel="00000000" w:rsidR="00000000" w:rsidRPr="00000000">
        <w:rPr>
          <w:rFonts w:ascii="Google Sans" w:cs="Google Sans" w:eastAsia="Google Sans" w:hAnsi="Google Sans"/>
          <w:rtl w:val="0"/>
        </w:rPr>
        <w:t xml:space="preserve"> ULN, sometimes accompanied by jaundice (peak bilirubin reaching 32 mg/dL in one extreme case).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FDA responded by implementing an Aqvesme Risk Evaluation and Mitigation Strategy (REMS), which is mandatory for all prescribing physicians, patients, and pharmacies.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REMS protocol necessitates baseline liver function tests—including ALT, AST, alkaline phosphatase, and total bilirubin—followed by monthly tests for the first 24 weeks of therapy.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Despite these monitoring requirements, clinical adoption has remained strong, with 86% of surveyed physicians expressing an intent to prescribe the drug within six months of its launch.</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Other common but generally non-serious adverse events include headache (22%), initial insomnia (14%), and nausea (12%).</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Notably, laboratory abnormalities such as decreased estrone and estradiol in males and increased urate levels were also documented in the prescribing information.</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Etavopivat: The Once-Daily Alternative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Etavopivat (FT-4202), a competitor PKR activator developed by Novo Nordisk, is being evaluated as a once-daily oral option.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the Phase 2/3 HIBISCUS trial, etavopivat demonstrated a reduction in annualized vaso-occlusive crisis (VOC) rates in patients with sickle cell disease, with a concomitant increase in hemoglobin levels of </w:t>
      </w:r>
      <w:r w:rsidDel="00000000" w:rsidR="00000000" w:rsidRPr="00000000">
        <w:rPr>
          <w:rFonts w:ascii="Google Sans" w:cs="Google Sans" w:eastAsia="Google Sans" w:hAnsi="Google Sans"/>
        </w:rPr>
        <w:drawing>
          <wp:inline distB="19050" distT="19050" distL="19050" distR="19050">
            <wp:extent cx="287089" cy="220102"/>
            <wp:effectExtent b="0" l="0" r="0" t="0"/>
            <wp:docPr id="2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7089" cy="220102"/>
                    </a:xfrm>
                    <a:prstGeom prst="rect"/>
                    <a:ln/>
                  </pic:spPr>
                </pic:pic>
              </a:graphicData>
            </a:graphic>
          </wp:inline>
        </w:drawing>
      </w:r>
      <w:r w:rsidDel="00000000" w:rsidR="00000000" w:rsidRPr="00000000">
        <w:rPr>
          <w:rFonts w:ascii="Google Sans" w:cs="Google Sans" w:eastAsia="Google Sans" w:hAnsi="Google Sans"/>
          <w:rtl w:val="0"/>
        </w:rPr>
        <w:t xml:space="preserve"> g/dL.</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While etavopivat’s primary focus has been SCD, the GLADIOLUS and FLORAL trials are expanding its reach into thalassemia. The Phase 2 GLADIOLUS study is currently investigating the drug's safety and efficacy in both TDT and NTDT, with preliminary results suggesting it is well-tolerated and effective at reducing transfusion burden.</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logistical advantage of a once-daily dosing regimen (200-400 mg) compared to mitapivat’s twice-daily requirement (100 mg BID) may prove to be a significant factor in patient adherence and long-term market competition.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Epigenetic Modulation and HbF Induction Strategies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search for more effective fetal hemoglobin inducers has moved beyond the cytostatic mechanism of hydroxyurea toward targeted epigenetic modifiers. These agents aim to silence the repressors of </w:t>
      </w:r>
      <w:r w:rsidDel="00000000" w:rsidR="00000000" w:rsidRPr="00000000">
        <w:rPr>
          <w:rFonts w:ascii="Google Sans" w:cs="Google Sans" w:eastAsia="Google Sans" w:hAnsi="Google Sans"/>
        </w:rPr>
        <w:drawing>
          <wp:inline distB="19050" distT="19050" distL="19050" distR="19050">
            <wp:extent cx="105668" cy="230548"/>
            <wp:effectExtent b="0" l="0" r="0" t="0"/>
            <wp:docPr id="2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05668" cy="230548"/>
                    </a:xfrm>
                    <a:prstGeom prst="rect"/>
                    <a:ln/>
                  </pic:spPr>
                </pic:pic>
              </a:graphicData>
            </a:graphic>
          </wp:inline>
        </w:drawing>
      </w:r>
      <w:r w:rsidDel="00000000" w:rsidR="00000000" w:rsidRPr="00000000">
        <w:rPr>
          <w:rFonts w:ascii="Google Sans" w:cs="Google Sans" w:eastAsia="Google Sans" w:hAnsi="Google Sans"/>
          <w:rtl w:val="0"/>
        </w:rPr>
        <w:t xml:space="preserve">-globin production, such as BCL11A, by modulating the chromatin environment.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EED Inhibitors: Pociredir (FTX-6058)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Pociredir is an investigational small molecule that allosterically inhibits EED, a subunit of the PRC2 complex. In the Phase 1b PIONEER trial, pociredir showed compelling activity in inducing HbF. Patients in the 12 mg dose cohort experienced a mean absolute increase in HbF of 8.6%, raising total HbF from a baseline of 7.6% to 16.2% after 12 weeks of treatment.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was accompanied by a "pan-cellular" induction—meaning the HbF was broadly distributed across the RBC population—which is critical for preventing the focal hemolysis of cells lacking protective HbF.</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clinical investigation of pociredir was briefly halted by the FDA in 2023 due to concerns about the potential for hematologic malignancies associated with PRC2 inhibition, a risk seen in preclinical models.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However, the hold was lifted after protocol modifications, and the trial resumed. By late 2025, over-enrollment in the 20 mg cohort was reported, indicating high patient and physician enthusiasm. Early data from the 20 mg cohort suggests even more robust HbF induction, with plans for an end-of-Phase-1 meeting with the FDA in early 2026 to discuss the path to a registrational trial.</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PRC2 and HDAC Inhibition: MAK683 and Others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MAK683, an allosteric EED inhibitor developed by Novartis, is primarily in Phase 1/2 trials for advanced malignancies, but its mechanism of action—reducing H3K27me3 histone marks—provides a strong biological rationale for its application in hemoglobinopathies.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Preclinical comparisons show that EED inhibitors like MAK683 and the next-generation APG-5918 can achieve regression in tumor models and potent HbF induction in erythroid cells.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While MAK683 has shown manageable safety in cancer patients (with common toxicities including thrombocytopenia and neutropenia), its use in thalassemia will require a carefully balanced dose to avoid immunosuppression while achieving therapeutic globin chain shifts.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Iron Chelation: Chemistry, Synthesis, and Management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Iron chelation remains a cornerstone of thalassemia management. The development of deferasirox has provided a standard of care that balances efficacy with the convenience of oral administration, although its synthesis and safety require precise industrial control.</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Clinical Profile of Deferasirox and Deferiprone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Deferasirox is a tridentate chelator that binds </w:t>
      </w:r>
      <w:r w:rsidDel="00000000" w:rsidR="00000000" w:rsidRPr="00000000">
        <w:rPr>
          <w:rFonts w:ascii="Google Sans" w:cs="Google Sans" w:eastAsia="Google Sans" w:hAnsi="Google Sans"/>
        </w:rPr>
        <w:drawing>
          <wp:inline distB="19050" distT="19050" distL="19050" distR="19050">
            <wp:extent cx="404366" cy="231066"/>
            <wp:effectExtent b="0" l="0" r="0" t="0"/>
            <wp:docPr id="2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rtl w:val="0"/>
        </w:rPr>
        <w:t xml:space="preserve"> in a 2:1 ratio, forming a stable, hexacoordinate complex that is highly soluble and excreted in the feces. It is the most commonly prescribed iron chelator due to its once-daily dosing.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However, its use is associated with a risk of nephrotoxicity and gastrointestinal disturbances, necessitating regular monitoring of serum creatinine and liver enzymes.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Deferiprone, a bidentate chelator, binds iron in a 3:1 ratio. While effective, especially in removing cardiac iron, it requires thrice-daily dosing and carries a risk of agranulocytosis, which requires weekly blood count monitoring.</w:t>
      </w:r>
      <w:r w:rsidDel="00000000" w:rsidR="00000000" w:rsidRPr="00000000">
        <w:rPr>
          <w:rFonts w:ascii="Google Sans" w:cs="Google Sans" w:eastAsia="Google Sans" w:hAnsi="Google Sans"/>
          <w:sz w:val="24"/>
          <w:szCs w:val="24"/>
          <w:vertAlign w:val="superscript"/>
          <w:rtl w:val="0"/>
        </w:rPr>
        <w:t xml:space="preserve">13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Denticity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Excretion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Major Toxicity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Deferasirox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Tridentate (2:1 ligand:Fe)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Daily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Nephrotoxicity, GI upset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Deferiprone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Bidentate (3:1 ligand:Fe)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Thrice Daily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Urinary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Agranulocytosis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Deferoxamine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Hexadentate (1:1 ligand:Fe)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Subcutaneous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Urinary/Fecal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Infusion site reactions</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Source: Comparative analysis of FDA-approved iron chelators.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Synthetic Routes for Deferasirox (Exjade/Jadenu)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industrial synthesis of deferasirox is a testament to the efficient construction of the 1,2,4-triazole core from simple aromatic precursors. The process chemistry has evolved to ensure the removal of genotoxic impurities such as 4-hydrazinobenzoic acid.</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Intermediate Synthesis</w:t>
      </w:r>
      <w:r w:rsidDel="00000000" w:rsidR="00000000" w:rsidRPr="00000000">
        <w:rPr>
          <w:rFonts w:ascii="Google Sans" w:cs="Google Sans" w:eastAsia="Google Sans" w:hAnsi="Google Sans"/>
          <w:rtl w:val="0"/>
        </w:rPr>
        <w:t xml:space="preserve">: The process begins with the reaction of salicylic acid and thionyl chloride (</w:t>
      </w:r>
      <w:r w:rsidDel="00000000" w:rsidR="00000000" w:rsidRPr="00000000">
        <w:rPr>
          <w:rFonts w:ascii="Google Sans" w:cs="Google Sans" w:eastAsia="Google Sans" w:hAnsi="Google Sans"/>
        </w:rPr>
        <w:drawing>
          <wp:inline distB="19050" distT="19050" distL="19050" distR="19050">
            <wp:extent cx="527447" cy="230159"/>
            <wp:effectExtent b="0" l="0" r="0" t="0"/>
            <wp:docPr id="2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27447" cy="230159"/>
                    </a:xfrm>
                    <a:prstGeom prst="rect"/>
                    <a:ln/>
                  </pic:spPr>
                </pic:pic>
              </a:graphicData>
            </a:graphic>
          </wp:inline>
        </w:drawing>
      </w:r>
      <w:r w:rsidDel="00000000" w:rsidR="00000000" w:rsidRPr="00000000">
        <w:rPr>
          <w:rFonts w:ascii="Google Sans" w:cs="Google Sans" w:eastAsia="Google Sans" w:hAnsi="Google Sans"/>
          <w:rtl w:val="0"/>
        </w:rPr>
        <w:t xml:space="preserve">) in a solvent like xylene or toluene. This generates salicyloyl chloride in situ, which then undergoes condensation with salicylamide to produce the benzoxazinone intermediate: 2-(2-hydroxyphenyl)-1,3(4H)-benzoxazin-4-one.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Cyclization</w:t>
      </w:r>
      <w:r w:rsidDel="00000000" w:rsidR="00000000" w:rsidRPr="00000000">
        <w:rPr>
          <w:rFonts w:ascii="Google Sans" w:cs="Google Sans" w:eastAsia="Google Sans" w:hAnsi="Google Sans"/>
          <w:rtl w:val="0"/>
        </w:rPr>
        <w:t xml:space="preserve">: The benzoxazinone is reacted with 4-hydrazinobenzoic acid in boiling ethanol. The hydrazine nitrogen facilitates a nucleophilic attack on the benzoxazinone's carbonyl and imine centers, leading to the formation of the triazole ring and the final deferasirox molecule.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Impurity Mitigation</w:t>
      </w:r>
      <w:r w:rsidDel="00000000" w:rsidR="00000000" w:rsidRPr="00000000">
        <w:rPr>
          <w:rFonts w:ascii="Google Sans" w:cs="Google Sans" w:eastAsia="Google Sans" w:hAnsi="Google Sans"/>
          <w:rtl w:val="0"/>
        </w:rPr>
        <w:t xml:space="preserve">: Because 4-hydrazinobenzoic acid is a known carcinogen, the final API must be rigorously purified. Analytical protocols using HPLC with specific diluents (e.g., triethylamine and perchloric acid) are employed to precipitate the deferasirox matrix and accurately quantify trace levels of the hydrazine impurity.</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Industrial Synthesis of Mitapivat (Aqvesme)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Mitapivat is a quinoline-sulfonamide derivative (</w:t>
      </w:r>
      <w:r w:rsidDel="00000000" w:rsidR="00000000" w:rsidRPr="00000000">
        <w:rPr>
          <w:rFonts w:ascii="Google Sans" w:cs="Google Sans" w:eastAsia="Google Sans" w:hAnsi="Google Sans"/>
        </w:rPr>
        <w:drawing>
          <wp:inline distB="19050" distT="19050" distL="19050" distR="19050">
            <wp:extent cx="1121420" cy="228085"/>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121420" cy="228085"/>
                    </a:xfrm>
                    <a:prstGeom prst="rect"/>
                    <a:ln/>
                  </pic:spPr>
                </pic:pic>
              </a:graphicData>
            </a:graphic>
          </wp:inline>
        </w:drawing>
      </w:r>
      <w:r w:rsidDel="00000000" w:rsidR="00000000" w:rsidRPr="00000000">
        <w:rPr>
          <w:rFonts w:ascii="Google Sans" w:cs="Google Sans" w:eastAsia="Google Sans" w:hAnsi="Google Sans"/>
          <w:rtl w:val="0"/>
        </w:rPr>
        <w:t xml:space="preserve">). Its discovery-scale and industrial synthesis are highlighted by efficient sulfonamide formation and amide coupling steps, as detailed in recent literature such as </w:t>
      </w:r>
      <w:r w:rsidDel="00000000" w:rsidR="00000000" w:rsidRPr="00000000">
        <w:rPr>
          <w:rFonts w:ascii="Google Sans" w:cs="Google Sans" w:eastAsia="Google Sans" w:hAnsi="Google Sans"/>
          <w:i w:val="1"/>
          <w:iCs w:val="1"/>
          <w:rtl w:val="0"/>
        </w:rPr>
        <w:t xml:space="preserve">Org. Process Res. Dev.</w:t>
      </w:r>
      <w:r w:rsidDel="00000000" w:rsidR="00000000" w:rsidRPr="00000000">
        <w:rPr>
          <w:rFonts w:ascii="Google Sans" w:cs="Google Sans" w:eastAsia="Google Sans" w:hAnsi="Google Sans"/>
          <w:rtl w:val="0"/>
        </w:rPr>
        <w:t xml:space="preserve"> 2024 and </w:t>
      </w:r>
      <w:r w:rsidDel="00000000" w:rsidR="00000000" w:rsidRPr="00000000">
        <w:rPr>
          <w:rFonts w:ascii="Google Sans" w:cs="Google Sans" w:eastAsia="Google Sans" w:hAnsi="Google Sans"/>
          <w:i w:val="1"/>
          <w:iCs w:val="1"/>
          <w:rtl w:val="0"/>
        </w:rPr>
        <w:t xml:space="preserve">J. Med. Chem.</w:t>
      </w:r>
      <w:r w:rsidDel="00000000" w:rsidR="00000000" w:rsidRPr="00000000">
        <w:rPr>
          <w:rFonts w:ascii="Google Sans" w:cs="Google Sans" w:eastAsia="Google Sans" w:hAnsi="Google Sans"/>
          <w:rtl w:val="0"/>
        </w:rPr>
        <w:t xml:space="preserve"> 2017.</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Process Chemistry Route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commercial synthesis of mitapivat, developed by Agios Pharmaceuticals, proceeds via a convergent route starting from ethyl 4-aminobenzoate (MITA-001) and quinoline-8-sulfonyl chloride (MITA-002).</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Sulfonamide Formation</w:t>
      </w:r>
      <w:r w:rsidDel="00000000" w:rsidR="00000000" w:rsidRPr="00000000">
        <w:rPr>
          <w:rFonts w:ascii="Google Sans" w:cs="Google Sans" w:eastAsia="Google Sans" w:hAnsi="Google Sans"/>
          <w:rtl w:val="0"/>
        </w:rPr>
        <w:t xml:space="preserve">: The coupling of MITA-001 and MITA-002 in the presence of a base (typically pyridine or triethylamine) yields the sulfonamide intermediate. This is an aromatic nucleophilic substitution reaction at the sulfur center.</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Saponification</w:t>
      </w:r>
      <w:r w:rsidDel="00000000" w:rsidR="00000000" w:rsidRPr="00000000">
        <w:rPr>
          <w:rFonts w:ascii="Google Sans" w:cs="Google Sans" w:eastAsia="Google Sans" w:hAnsi="Google Sans"/>
          <w:rtl w:val="0"/>
        </w:rPr>
        <w:t xml:space="preserve">: The ethyl ester is hydrolyzed using sodium hydroxide (</w:t>
      </w:r>
      <w:r w:rsidDel="00000000" w:rsidR="00000000" w:rsidRPr="00000000">
        <w:rPr>
          <w:rFonts w:ascii="Google Sans" w:cs="Google Sans" w:eastAsia="Google Sans" w:hAnsi="Google Sans"/>
        </w:rPr>
        <w:drawing>
          <wp:inline distB="19050" distT="19050" distL="19050" distR="19050">
            <wp:extent cx="579686" cy="228073"/>
            <wp:effectExtent b="0" l="0" r="0" t="0"/>
            <wp:docPr id="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9686" cy="228073"/>
                    </a:xfrm>
                    <a:prstGeom prst="rect"/>
                    <a:ln/>
                  </pic:spPr>
                </pic:pic>
              </a:graphicData>
            </a:graphic>
          </wp:inline>
        </w:drawing>
      </w:r>
      <w:r w:rsidDel="00000000" w:rsidR="00000000" w:rsidRPr="00000000">
        <w:rPr>
          <w:rFonts w:ascii="Google Sans" w:cs="Google Sans" w:eastAsia="Google Sans" w:hAnsi="Google Sans"/>
          <w:rtl w:val="0"/>
        </w:rPr>
        <w:t xml:space="preserve">) in a mixture of tetrahydrofuran (</w:t>
      </w:r>
      <w:r w:rsidDel="00000000" w:rsidR="00000000" w:rsidRPr="00000000">
        <w:rPr>
          <w:rFonts w:ascii="Google Sans" w:cs="Google Sans" w:eastAsia="Google Sans" w:hAnsi="Google Sans"/>
        </w:rPr>
        <w:drawing>
          <wp:inline distB="19050" distT="19050" distL="19050" distR="19050">
            <wp:extent cx="445591" cy="227536"/>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45591" cy="227536"/>
                    </a:xfrm>
                    <a:prstGeom prst="rect"/>
                    <a:ln/>
                  </pic:spPr>
                </pic:pic>
              </a:graphicData>
            </a:graphic>
          </wp:inline>
        </w:drawing>
      </w:r>
      <w:r w:rsidDel="00000000" w:rsidR="00000000" w:rsidRPr="00000000">
        <w:rPr>
          <w:rFonts w:ascii="Google Sans" w:cs="Google Sans" w:eastAsia="Google Sans" w:hAnsi="Google Sans"/>
          <w:rtl w:val="0"/>
        </w:rPr>
        <w:t xml:space="preserve">) and water. Subsequent acidification with hydrochloric acid (</w:t>
      </w:r>
      <w:r w:rsidDel="00000000" w:rsidR="00000000" w:rsidRPr="00000000">
        <w:rPr>
          <w:rFonts w:ascii="Google Sans" w:cs="Google Sans" w:eastAsia="Google Sans" w:hAnsi="Google Sans"/>
        </w:rPr>
        <w:drawing>
          <wp:inline distB="19050" distT="19050" distL="19050" distR="19050">
            <wp:extent cx="358527" cy="226438"/>
            <wp:effectExtent b="0" l="0" r="0" t="0"/>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58527" cy="226438"/>
                    </a:xfrm>
                    <a:prstGeom prst="rect"/>
                    <a:ln/>
                  </pic:spPr>
                </pic:pic>
              </a:graphicData>
            </a:graphic>
          </wp:inline>
        </w:drawing>
      </w:r>
      <w:r w:rsidDel="00000000" w:rsidR="00000000" w:rsidRPr="00000000">
        <w:rPr>
          <w:rFonts w:ascii="Google Sans" w:cs="Google Sans" w:eastAsia="Google Sans" w:hAnsi="Google Sans"/>
          <w:rtl w:val="0"/>
        </w:rPr>
        <w:t xml:space="preserve">) yields the carboxylic acid intermediate: 4-(quinoline-8-sulfonamido)benzoic acid.</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Amide Coupling</w:t>
      </w:r>
      <w:r w:rsidDel="00000000" w:rsidR="00000000" w:rsidRPr="00000000">
        <w:rPr>
          <w:rFonts w:ascii="Google Sans" w:cs="Google Sans" w:eastAsia="Google Sans" w:hAnsi="Google Sans"/>
          <w:rtl w:val="0"/>
        </w:rPr>
        <w:t xml:space="preserve">: The final step involves the condensation of the carboxylic acid intermediate with 1-(cyclopropylmethyl)piperazine (MITA-005). This is mediated by 1,1'-carbonyldiimidazole (CDI), which activates the acid group without the need for traditional peptide coupling reagents that produce difficult-to-remove byproducts.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Crystallization</w:t>
      </w:r>
      <w:r w:rsidDel="00000000" w:rsidR="00000000" w:rsidRPr="00000000">
        <w:rPr>
          <w:rFonts w:ascii="Google Sans" w:cs="Google Sans" w:eastAsia="Google Sans" w:hAnsi="Google Sans"/>
          <w:rtl w:val="0"/>
        </w:rPr>
        <w:t xml:space="preserve">: Mitapivat is typically isolated as a sulfate salt to improve its physicochemical stability and facilitate its formulation into 5 mg, 20 mg, and 50 mg tablets.</w:t>
      </w:r>
      <w:r w:rsidDel="00000000" w:rsidR="00000000" w:rsidRPr="00000000">
        <w:rPr>
          <w:rFonts w:ascii="Google Sans" w:cs="Google Sans" w:eastAsia="Google Sans" w:hAnsi="Google Sans"/>
          <w:sz w:val="24"/>
          <w:szCs w:val="24"/>
          <w:vertAlign w:val="superscript"/>
          <w:rtl w:val="0"/>
        </w:rPr>
        <w:t xml:space="preserve">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Synthesis 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Reagents / Conditions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Yield /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Sulfonylation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Quinoline-8-sulfonyl chloride + Ethyl 4-aminobenzoate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Sulfonamide 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Hydrolysis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2N NaOH, THF/H2O, then HCl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Carboxylic acid intermediate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1,1'-carbonyldiimidazole (CDI)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Acyl-imidazole active species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Amide Coupling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1-(cyclopropylmethyl)piperazine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Mitapivat free base</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Source: Derived from J. Med. Chem. 2017 and OPRD 2024 industrial routes.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Market Access, Cost, and Healthcare Economics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commercialization of mitapivat (Aqvesme) in 2025 and 2026 has brought the debate over "value-based pricing" for orphan drugs to the forefront of hematology.</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 Market Dynamics and Pricing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Agios Pharmaceuticals established a Wholesale Acquisition Cost (WAC) of USD 425,000 per patient per year for Aqvesme in the United States.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represents a significant price point, though it is marketed as a cost-offset to the lifelong expense of chronic transfusions and complications from iron overload.</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company estimates that approximately 4,000 thalassemic adults in the US are immediate candidates for launch, potentially generating multi-hundred-million-dollar annual revenues.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Despite the high WAC, 86% of community physicians have expressed strong intent to prescribe the drug, citing the unmet need for an oral therapy that addresses the disease’s hemolytic nature.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Accessibility Challenges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Globally, the accessibility of NMEs remains fractured. While mitapivat gained approval in Saudi Arabia in August 2025 and is under review in the EU and UAE, the high cost limits its utility in Southeast Asia and the Mediterranean, where thalassemia is most prevalent.</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DelveInsight reports that the global thalassemia market is expected to grow to USD 6.9 billion by 2034, but broad implementation will require supportive reimbursement frameworks and potentially the development of biosimilar iron chelators to lower the overall cost of the "chelation + activator" regimen.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Conclusions and Future Therapeutic Trajectory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landscape of thalassemia treatment as of early 2026 is defined by the transition from palliative supportive care to targeted, disease-modifying small-molecule therapy. The successful approval and launch of mitapivat (Aqvesme) provide a powerful metabolic tool for both alpha- and beta-thalassemia, although the requirement for monthly liver monitoring through the REMS program highlights the ongoing need for safer second-generation activators. The once-daily potential of etavopivat and the emerging epigenetic data for EED inhibitors like pociredir suggest that the therapeutic toolkit will continue to expand, offering patients a range of options tailored to their genotype and clinical severity.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medicinal chemists, the success of these molecules validates the strategy of targeting RBC-specific metabolism and epigenetic globin regulation. Future efforts will likely focus on combination therapies—pairing PK activators with iron chelators or HbF inducers—to achieve maximal globin chain balance and metabolic health. As newborn screening programs expand globally, the early initiation of these oral therapies could theoretically prevent the development of chronic morbidities, fundamentally altering the natural history of these life-threatening hematologic disorders.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approves first oral treatment for anemia in thalassemia, an ..., accessed February 20, 2026, </w:t>
      </w:r>
      <w:hyperlink r:id="rId21">
        <w:r w:rsidDel="00000000" w:rsidR="00000000" w:rsidRPr="00000000">
          <w:rPr>
            <w:rFonts w:ascii="Google Sans" w:cs="Google Sans" w:eastAsia="Google Sans" w:hAnsi="Google Sans"/>
            <w:color w:val="0000ee"/>
            <w:sz w:val="24"/>
            <w:szCs w:val="24"/>
            <w:u w:val="single"/>
            <w:rtl w:val="0"/>
          </w:rPr>
          <w:t xml:space="preserve">https://www.fda.gov/drugs/news-events-human-drugs/fda-approves-first-oral-treatment-anemia-thalassemia-inherited-blood-disorder</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Novel Fetal Hemoglobin Inducer Drugs in Treatment of β-Hemoglobinopathy Disorders - PMC, accessed February 20,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https://pmc.ncbi.nlm.nih.gov/articles/PMC3913144/</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FDA Approves Agios' AQVESME™ (mitapivat) for the Treatment of Anemia in Adults with Alpha- or Beta-Thalassemia, accessed February 20, 2026, </w:t>
      </w:r>
      <w:hyperlink r:id="rId23">
        <w:r w:rsidDel="00000000" w:rsidR="00000000" w:rsidRPr="00000000">
          <w:rPr>
            <w:rFonts w:ascii="Google Sans" w:cs="Google Sans" w:eastAsia="Google Sans" w:hAnsi="Google Sans"/>
            <w:color w:val="0000ee"/>
            <w:sz w:val="24"/>
            <w:szCs w:val="24"/>
            <w:u w:val="single"/>
            <w:rtl w:val="0"/>
          </w:rPr>
          <w:t xml:space="preserve">https://investor.agios.com/node/18616/pdf</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Thalassemia Treatment Market Size, Drugs, Companies, accessed February 20, 2026, </w:t>
      </w:r>
      <w:hyperlink r:id="rId24">
        <w:r w:rsidDel="00000000" w:rsidR="00000000" w:rsidRPr="00000000">
          <w:rPr>
            <w:rFonts w:ascii="Google Sans" w:cs="Google Sans" w:eastAsia="Google Sans" w:hAnsi="Google Sans"/>
            <w:color w:val="0000ee"/>
            <w:sz w:val="24"/>
            <w:szCs w:val="24"/>
            <w:u w:val="single"/>
            <w:rtl w:val="0"/>
          </w:rPr>
          <w:t xml:space="preserve">https://www.delveinsight.com/report-store/alpha-thalassemia-market</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Thalassemia Treatment Market to Witness Significant Growth by 2034 Driven by Novel Drug Development | DelveInsight - GlobeNewswire, accessed February 20, 2026, </w:t>
      </w:r>
      <w:hyperlink r:id="rId25">
        <w:r w:rsidDel="00000000" w:rsidR="00000000" w:rsidRPr="00000000">
          <w:rPr>
            <w:rFonts w:ascii="Google Sans" w:cs="Google Sans" w:eastAsia="Google Sans" w:hAnsi="Google Sans"/>
            <w:color w:val="0000ee"/>
            <w:sz w:val="24"/>
            <w:szCs w:val="24"/>
            <w:u w:val="single"/>
            <w:rtl w:val="0"/>
          </w:rPr>
          <w:t xml:space="preserve">https://www.globenewswire.com/news-release/2025/09/22/3154186/0/en/Thalassemia-Treatment-Market-to-Witness-Significant-Growth-by-2034-Driven-by-Novel-Drug-Development-DelveInsight.html</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Thalassemia Drugs Market Outlook 2025-2034: Market Share, and Growth Analysis By Type (Alpha Thalassemia Drugs, Beta Thalassemia Drugs), By Treatment Type (Iron Chelation Therapy, Other Treatments), By Distribution Channel - Market Research, accessed February 20, 2026, </w:t>
      </w:r>
      <w:hyperlink r:id="rId26">
        <w:r w:rsidDel="00000000" w:rsidR="00000000" w:rsidRPr="00000000">
          <w:rPr>
            <w:rFonts w:ascii="Google Sans" w:cs="Google Sans" w:eastAsia="Google Sans" w:hAnsi="Google Sans"/>
            <w:color w:val="0000ee"/>
            <w:sz w:val="24"/>
            <w:szCs w:val="24"/>
            <w:u w:val="single"/>
            <w:rtl w:val="0"/>
          </w:rPr>
          <w:t xml:space="preserve">https://www.marketresearch.com/OG-Analysis-v3922/Thalassemia-Drugs-Outlook-Share-Growth-42773563/</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grants approval to mitapivat for non-transfusion-dependent and transfusion-dependent alpha- or beta-thalassemia | VJHemOnc, accessed February 20, 2026, </w:t>
      </w:r>
      <w:hyperlink r:id="rId27">
        <w:r w:rsidDel="00000000" w:rsidR="00000000" w:rsidRPr="00000000">
          <w:rPr>
            <w:rFonts w:ascii="Google Sans" w:cs="Google Sans" w:eastAsia="Google Sans" w:hAnsi="Google Sans"/>
            <w:color w:val="0000ee"/>
            <w:sz w:val="24"/>
            <w:szCs w:val="24"/>
            <w:u w:val="single"/>
            <w:rtl w:val="0"/>
          </w:rPr>
          <w:t xml:space="preserve">https://www.vjhemonc.com/fda-grants-approval-to-mitapivat-for-non-transfusion-dependent-and-transfusion-dependent-alpha-or-beta-thalassemia/</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 Trials: Mitapivat, an Oral Pyruvate Kinase Activator ..., accessed February 20, 2026, </w:t>
      </w:r>
      <w:hyperlink r:id="rId28">
        <w:r w:rsidDel="00000000" w:rsidR="00000000" w:rsidRPr="00000000">
          <w:rPr>
            <w:rFonts w:ascii="Google Sans" w:cs="Google Sans" w:eastAsia="Google Sans" w:hAnsi="Google Sans"/>
            <w:color w:val="0000ee"/>
            <w:sz w:val="24"/>
            <w:szCs w:val="24"/>
            <w:u w:val="single"/>
            <w:rtl w:val="0"/>
          </w:rPr>
          <w:t xml:space="preserve">https://ashpublications.org/thehematologist/article/doi/10.1182/hem.V22.6.202562/547778/ENERGIZE-Trials-Mitapivat-an-Oral-Pyruvate-Kinase</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Alternate, Efficient Synthetic Process for a Hemolytic Anemia ..., accessed February 20,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https://www.researchgate.net/publication/384996072_An_Alternate_Efficient_Synthetic_Process_for_a_Hemolytic_Anemia_Drug_Mitapivat_Sulfate</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Hibiscus 2 (Trial-in-Progress): A global, Phase 3, randomized, double-blind, placebo-controlled study evaluating the efficacy and safety of etavopivat in adolescents and adults with sickle cell disease | Blood | American Society of Hematology - ASH Publications, accessed February 20, 2026, </w:t>
      </w:r>
      <w:hyperlink r:id="rId30">
        <w:r w:rsidDel="00000000" w:rsidR="00000000" w:rsidRPr="00000000">
          <w:rPr>
            <w:rFonts w:ascii="Google Sans" w:cs="Google Sans" w:eastAsia="Google Sans" w:hAnsi="Google Sans"/>
            <w:color w:val="0000ee"/>
            <w:sz w:val="24"/>
            <w:szCs w:val="24"/>
            <w:u w:val="single"/>
            <w:rtl w:val="0"/>
          </w:rPr>
          <w:t xml:space="preserve">https://ashpublications.org/blood/article/146/Supplement%201/2976/551416/Hibiscus-2-Trial-in-Progress-A-global-Phase-3</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Mitapivat: A Novel Treatment of Hemolytic Anemia in Adults with Pyruvate Kinase Deficiency, accessed February 20, 2026, </w:t>
      </w:r>
      <w:hyperlink r:id="rId31">
        <w:r w:rsidDel="00000000" w:rsidR="00000000" w:rsidRPr="00000000">
          <w:rPr>
            <w:rFonts w:ascii="Google Sans" w:cs="Google Sans" w:eastAsia="Google Sans" w:hAnsi="Google Sans"/>
            <w:color w:val="0000ee"/>
            <w:sz w:val="24"/>
            <w:szCs w:val="24"/>
            <w:u w:val="single"/>
            <w:rtl w:val="0"/>
          </w:rPr>
          <w:t xml:space="preserve">https://pubmed.ncbi.nlm.nih.gov/37125655/</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Deferasirox: A comprehensive drug profile - PubMed, accessed February 20, 2026, </w:t>
      </w:r>
      <w:hyperlink r:id="rId32">
        <w:r w:rsidDel="00000000" w:rsidR="00000000" w:rsidRPr="00000000">
          <w:rPr>
            <w:rFonts w:ascii="Google Sans" w:cs="Google Sans" w:eastAsia="Google Sans" w:hAnsi="Google Sans"/>
            <w:color w:val="0000ee"/>
            <w:sz w:val="24"/>
            <w:szCs w:val="24"/>
            <w:u w:val="single"/>
            <w:rtl w:val="0"/>
          </w:rPr>
          <w:t xml:space="preserve">https://pubmed.ncbi.nlm.nih.gov/38423705/</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Synthesis and Study of Multifunctional Cyclodextrin–Deferasirox Hybrids - ResearchGate, accessed February 20,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https://www.researchgate.net/publication/333625550_Synthesis_and_Study_of_Multifunctional_Cyclodextrin-Deferasirox_Hybrids</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Level Determination of Genotoxic Impurity in Deferasirox ..., accessed February 20, 2026, </w:t>
      </w:r>
      <w:hyperlink r:id="rId34">
        <w:r w:rsidDel="00000000" w:rsidR="00000000" w:rsidRPr="00000000">
          <w:rPr>
            <w:rFonts w:ascii="Google Sans" w:cs="Google Sans" w:eastAsia="Google Sans" w:hAnsi="Google Sans"/>
            <w:color w:val="0000ee"/>
            <w:sz w:val="24"/>
            <w:szCs w:val="24"/>
            <w:u w:val="single"/>
            <w:rtl w:val="0"/>
          </w:rPr>
          <w:t xml:space="preserve">https://www.scirp.org/journal/paperinformation?paperid=38319</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Fulcrum Therapeutics Announces Recent Business Highlights and Financial Results for Third Quarter 2025 - BioSpace, accessed February 20, 2026, </w:t>
      </w:r>
      <w:hyperlink r:id="rId35">
        <w:r w:rsidDel="00000000" w:rsidR="00000000" w:rsidRPr="00000000">
          <w:rPr>
            <w:rFonts w:ascii="Google Sans" w:cs="Google Sans" w:eastAsia="Google Sans" w:hAnsi="Google Sans"/>
            <w:color w:val="0000ee"/>
            <w:sz w:val="24"/>
            <w:szCs w:val="24"/>
            <w:u w:val="single"/>
            <w:rtl w:val="0"/>
          </w:rPr>
          <w:t xml:space="preserve">https://www.biospace.com/press-releases/fulcrum-therapeutics-announces-recent-business-highlights-and-financial-results-for-third-quarter-2025</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BCL11A DNA binding and expression in human erythrocyte precursor HUDEP-2 cells - bioRxiv, accessed February 20, 2026, </w:t>
      </w:r>
      <w:hyperlink r:id="rId36">
        <w:r w:rsidDel="00000000" w:rsidR="00000000" w:rsidRPr="00000000">
          <w:rPr>
            <w:rFonts w:ascii="Google Sans" w:cs="Google Sans" w:eastAsia="Google Sans" w:hAnsi="Google Sans"/>
            <w:color w:val="0000ee"/>
            <w:sz w:val="24"/>
            <w:szCs w:val="24"/>
            <w:u w:val="single"/>
            <w:rtl w:val="0"/>
          </w:rPr>
          <w:t xml:space="preserve">https://www.biorxiv.org/content/10.64898/2026.02.06.704516v1.full.pdf</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Pociredir well tolerated, shows promising activity in SCD trial - Sickle Cell Disease News, accessed February 20, 2026, </w:t>
      </w:r>
      <w:hyperlink r:id="rId37">
        <w:r w:rsidDel="00000000" w:rsidR="00000000" w:rsidRPr="00000000">
          <w:rPr>
            <w:rFonts w:ascii="Google Sans" w:cs="Google Sans" w:eastAsia="Google Sans" w:hAnsi="Google Sans"/>
            <w:color w:val="0000ee"/>
            <w:sz w:val="24"/>
            <w:szCs w:val="24"/>
            <w:u w:val="single"/>
            <w:rtl w:val="0"/>
          </w:rPr>
          <w:t xml:space="preserve">https://sicklecellanemianews.com/news/pociredir-well-tolerated-shows-promising-activity-scd-trial/</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Pipeline of FTX-6058 for Sickle Cell Disease: Early Results and Next Steps, accessed February 20, 2026, </w:t>
      </w:r>
      <w:hyperlink r:id="rId38">
        <w:r w:rsidDel="00000000" w:rsidR="00000000" w:rsidRPr="00000000">
          <w:rPr>
            <w:rFonts w:ascii="Google Sans" w:cs="Google Sans" w:eastAsia="Google Sans" w:hAnsi="Google Sans"/>
            <w:color w:val="0000ee"/>
            <w:sz w:val="24"/>
            <w:szCs w:val="24"/>
            <w:u w:val="single"/>
            <w:rtl w:val="0"/>
          </w:rPr>
          <w:t xml:space="preserve">https://www.docwirenews.com/post/the-clinical-pipeline-of-ftx-6058-for-sickle-cell-disease-early-results-and-next-steps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PYRUKYND® – TIF, accessed February 20, 2026, </w:t>
      </w:r>
      <w:hyperlink r:id="rId39">
        <w:r w:rsidDel="00000000" w:rsidR="00000000" w:rsidRPr="00000000">
          <w:rPr>
            <w:rFonts w:ascii="Google Sans" w:cs="Google Sans" w:eastAsia="Google Sans" w:hAnsi="Google Sans"/>
            <w:color w:val="0000ee"/>
            <w:sz w:val="24"/>
            <w:szCs w:val="24"/>
            <w:u w:val="single"/>
            <w:rtl w:val="0"/>
          </w:rPr>
          <w:t xml:space="preserve">https://thalassaemia.org.cy/clinical-trial-updates/mitapivat-2/</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Agios Q4 2025 slides: PYRUKYND revenue surges 86%, thalassemia launch underway, accessed February 20, 2026, </w:t>
      </w:r>
      <w:hyperlink r:id="rId40">
        <w:r w:rsidDel="00000000" w:rsidR="00000000" w:rsidRPr="00000000">
          <w:rPr>
            <w:rFonts w:ascii="Google Sans" w:cs="Google Sans" w:eastAsia="Google Sans" w:hAnsi="Google Sans"/>
            <w:color w:val="0000ee"/>
            <w:sz w:val="24"/>
            <w:szCs w:val="24"/>
            <w:u w:val="single"/>
            <w:rtl w:val="0"/>
          </w:rPr>
          <w:t xml:space="preserve">https://www.investing.com/news/company-news/agios-q4-2025-slides-pyrukynd-revenue-surges-86-thalassemia-launch-underway-93CH-4503153</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of mitapivat in patients with transfusion-dependent alpha-thalassemia: Subgroup analysis from the ENERGIZE-T trial | Blood | American Society of Hematology - ASH Publications, accessed February 20, 2026, </w:t>
      </w:r>
      <w:hyperlink r:id="rId41">
        <w:r w:rsidDel="00000000" w:rsidR="00000000" w:rsidRPr="00000000">
          <w:rPr>
            <w:rFonts w:ascii="Google Sans" w:cs="Google Sans" w:eastAsia="Google Sans" w:hAnsi="Google Sans"/>
            <w:color w:val="0000ee"/>
            <w:sz w:val="24"/>
            <w:szCs w:val="24"/>
            <w:u w:val="single"/>
            <w:rtl w:val="0"/>
          </w:rPr>
          <w:t xml:space="preserve">https://ashpublications.org/blood/article/146/Supplement%201/4699/551913/Efficacy-of-mitapivat-in-patients-with-transfusion</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Connections - Investors Overview - Agios Pharmaceuticals, accessed February 20, 2026, </w:t>
      </w:r>
      <w:hyperlink r:id="rId42">
        <w:r w:rsidDel="00000000" w:rsidR="00000000" w:rsidRPr="00000000">
          <w:rPr>
            <w:rFonts w:ascii="Google Sans" w:cs="Google Sans" w:eastAsia="Google Sans" w:hAnsi="Google Sans"/>
            <w:color w:val="0000ee"/>
            <w:sz w:val="24"/>
            <w:szCs w:val="24"/>
            <w:u w:val="single"/>
            <w:rtl w:val="0"/>
          </w:rPr>
          <w:t xml:space="preserve">https://investor.agios.com/static-files/cb4e036d-ac32-4e01-9a8f-f7397c49914b</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mandates liver monitoring for Agios' Pyrukynd after safety signal - FirstWord Pharma, accessed February 20, 2026, </w:t>
      </w:r>
      <w:hyperlink r:id="rId43">
        <w:r w:rsidDel="00000000" w:rsidR="00000000" w:rsidRPr="00000000">
          <w:rPr>
            <w:rFonts w:ascii="Google Sans" w:cs="Google Sans" w:eastAsia="Google Sans" w:hAnsi="Google Sans"/>
            <w:color w:val="0000ee"/>
            <w:sz w:val="24"/>
            <w:szCs w:val="24"/>
            <w:u w:val="single"/>
            <w:rtl w:val="0"/>
          </w:rPr>
          <w:t xml:space="preserve">https://firstwordpharma.com/story/5925197</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Accepts Agios' Supplemental New Drug Application for PYRUKYND® (mitapivat) in Adult Patients with Non-Transfusion-Dependent and Transfusion-Dependent Alpha- or Beta-Thalassemia - Agios Pharmaceuticals, Inc., accessed February 20, 2026, </w:t>
      </w:r>
      <w:hyperlink r:id="rId44">
        <w:r w:rsidDel="00000000" w:rsidR="00000000" w:rsidRPr="00000000">
          <w:rPr>
            <w:rFonts w:ascii="Google Sans" w:cs="Google Sans" w:eastAsia="Google Sans" w:hAnsi="Google Sans"/>
            <w:color w:val="0000ee"/>
            <w:sz w:val="24"/>
            <w:szCs w:val="24"/>
            <w:u w:val="single"/>
            <w:rtl w:val="0"/>
          </w:rPr>
          <w:t xml:space="preserve">https://investor.agios.com/news-releases/news-release-details/fda-accepts-agios-supplemental-new-drug-application-pyrukyndr</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Agios Wins Historic FDA Approval: AQVESME Becomes First Oral Therapy for Broad Thalassemia Population | Fintool News, accessed February 20, 2026, </w:t>
      </w:r>
      <w:hyperlink r:id="rId45">
        <w:r w:rsidDel="00000000" w:rsidR="00000000" w:rsidRPr="00000000">
          <w:rPr>
            <w:rFonts w:ascii="Google Sans" w:cs="Google Sans" w:eastAsia="Google Sans" w:hAnsi="Google Sans"/>
            <w:color w:val="0000ee"/>
            <w:sz w:val="24"/>
            <w:szCs w:val="24"/>
            <w:u w:val="single"/>
            <w:rtl w:val="0"/>
          </w:rPr>
          <w:t xml:space="preserve">https://fintool.com/news/agios-fda-aqvesme-thalassemia-approval</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Agios' Phase 3 ACTIVATE-Kids Study of Mitapivat in Children with Pyruvate Kinase (PK) Deficiency Not Regularly Transfused Met Primary Endpoint - BioSpace, accessed February 20, 2026, </w:t>
      </w:r>
      <w:hyperlink r:id="rId46">
        <w:r w:rsidDel="00000000" w:rsidR="00000000" w:rsidRPr="00000000">
          <w:rPr>
            <w:rFonts w:ascii="Google Sans" w:cs="Google Sans" w:eastAsia="Google Sans" w:hAnsi="Google Sans"/>
            <w:color w:val="0000ee"/>
            <w:sz w:val="24"/>
            <w:szCs w:val="24"/>
            <w:u w:val="single"/>
            <w:rtl w:val="0"/>
          </w:rPr>
          <w:t xml:space="preserve">https://www.biospace.com/press-releases/agios-phase-3-activate-kids-study-of-mitapivat-in-children-with-pyruvate-kinase-pk-deficiency-not-regularly-transfused-met-primary-endpoint</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Etavopivat – TIF, accessed February 20, 2026, </w:t>
      </w:r>
      <w:hyperlink r:id="rId47">
        <w:r w:rsidDel="00000000" w:rsidR="00000000" w:rsidRPr="00000000">
          <w:rPr>
            <w:rFonts w:ascii="Google Sans" w:cs="Google Sans" w:eastAsia="Google Sans" w:hAnsi="Google Sans"/>
            <w:color w:val="0000ee"/>
            <w:sz w:val="24"/>
            <w:szCs w:val="24"/>
            <w:u w:val="single"/>
            <w:rtl w:val="0"/>
          </w:rPr>
          <w:t xml:space="preserve">https://thalassaemia.org.cy/uncategorized/etavopivat/</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Etavopivat Reduces Incidence of Vaso-occlusive Crises in Patients With Sickle Cell Disease: Hibiscus Trial Phase 2 Results throu - Oxford Academic, accessed February 20, 2026, </w:t>
      </w:r>
      <w:hyperlink r:id="rId48">
        <w:r w:rsidDel="00000000" w:rsidR="00000000" w:rsidRPr="00000000">
          <w:rPr>
            <w:rFonts w:ascii="Google Sans" w:cs="Google Sans" w:eastAsia="Google Sans" w:hAnsi="Google Sans"/>
            <w:color w:val="0000ee"/>
            <w:sz w:val="24"/>
            <w:szCs w:val="24"/>
            <w:u w:val="single"/>
            <w:rtl w:val="0"/>
          </w:rPr>
          <w:t xml:space="preserve">https://academic.oup.com/jscd/article-pdf/2/Supplement_1/yoaf013.002/63437950/yoaf013.002.pdf</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Etavopivat in Adolescents with Sickle Cell Disease: Emerging Safety and Efficacy Findings from the First Cohort of the - Congresses and Scientific Publications, accessed February 20, 2026, </w:t>
      </w:r>
      <w:hyperlink r:id="rId49">
        <w:r w:rsidDel="00000000" w:rsidR="00000000" w:rsidRPr="00000000">
          <w:rPr>
            <w:rFonts w:ascii="Google Sans" w:cs="Google Sans" w:eastAsia="Google Sans" w:hAnsi="Google Sans"/>
            <w:color w:val="0000ee"/>
            <w:sz w:val="24"/>
            <w:szCs w:val="24"/>
            <w:u w:val="single"/>
            <w:rtl w:val="0"/>
          </w:rPr>
          <w:t xml:space="preserve">https://sciencehub.novonordisk.com/content/dam/sciencehub/global/en/congresses-and-scientific-publications/congresses/ash2025/etavopivat/documents/Final_Inati_et_al_ASH'25_Oral_presentation_V6.0_5Dec2025_Final.pdf</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 Haemoglobinopathy Coordinating Centre - Manchester University NHS Foundation Trust, accessed February 20, 2026, </w:t>
      </w:r>
      <w:hyperlink r:id="rId50">
        <w:r w:rsidDel="00000000" w:rsidR="00000000" w:rsidRPr="00000000">
          <w:rPr>
            <w:rFonts w:ascii="Google Sans" w:cs="Google Sans" w:eastAsia="Google Sans" w:hAnsi="Google Sans"/>
            <w:color w:val="0000ee"/>
            <w:sz w:val="24"/>
            <w:szCs w:val="24"/>
            <w:u w:val="single"/>
            <w:rtl w:val="0"/>
          </w:rPr>
          <w:t xml:space="preserve">https://mft.nhs.uk/hcc/patient-parent-carer-zone/research/</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BCL11A DNA binding and expression in human erythrocyte precursor HUDEP-2 cells - ResearchGate, accessed February 20,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https://www.researchgate.net/publication/400637221_Regulation_of_BCL11A_DNA_binding_and_expression_in_human_erythrocyte_precursor_HUDEP-2_cells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Trial of Pociredir for SCD completes enrollment of high-dose group, accessed February 20, 2026, </w:t>
      </w:r>
      <w:hyperlink r:id="rId52">
        <w:r w:rsidDel="00000000" w:rsidR="00000000" w:rsidRPr="00000000">
          <w:rPr>
            <w:rFonts w:ascii="Google Sans" w:cs="Google Sans" w:eastAsia="Google Sans" w:hAnsi="Google Sans"/>
            <w:color w:val="0000ee"/>
            <w:sz w:val="24"/>
            <w:szCs w:val="24"/>
            <w:u w:val="single"/>
            <w:rtl w:val="0"/>
          </w:rPr>
          <w:t xml:space="preserve">https://sicklecellanemianews.com/news/trial-pociredir-scd-completes-enrollment-high-dose-group/</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Fulcrum Therapeutics, Inc. (FULC) Q3 2025 Earnings Call Transcript | Seeking Alpha, accessed February 20, 2026, </w:t>
      </w:r>
      <w:hyperlink r:id="rId53">
        <w:r w:rsidDel="00000000" w:rsidR="00000000" w:rsidRPr="00000000">
          <w:rPr>
            <w:rFonts w:ascii="Google Sans" w:cs="Google Sans" w:eastAsia="Google Sans" w:hAnsi="Google Sans"/>
            <w:color w:val="0000ee"/>
            <w:sz w:val="24"/>
            <w:szCs w:val="24"/>
            <w:u w:val="single"/>
            <w:rtl w:val="0"/>
          </w:rPr>
          <w:t xml:space="preserve">https://seekingalpha.com/article/4834925-fulcrum-therapeutics-inc-fulc-q3-2025-earnings-call-transcript</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of the Clinical Candidate MAK683: An EED-Directed, Allosteric, and Selective PRC2 Inhibitor for the Treatment of Advanced Malignancies - PubMed, accessed February 20, 2026, </w:t>
      </w:r>
      <w:hyperlink r:id="rId54">
        <w:r w:rsidDel="00000000" w:rsidR="00000000" w:rsidRPr="00000000">
          <w:rPr>
            <w:rFonts w:ascii="Google Sans" w:cs="Google Sans" w:eastAsia="Google Sans" w:hAnsi="Google Sans"/>
            <w:color w:val="0000ee"/>
            <w:sz w:val="24"/>
            <w:szCs w:val="24"/>
            <w:u w:val="single"/>
            <w:rtl w:val="0"/>
          </w:rPr>
          <w:t xml:space="preserve">https://pubmed.ncbi.nlm.nih.gov/35352560/</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first-in-human phase 1/2 dose-escalation study of MAK683 (EED inhibitor) in patients with advanced malignancies - PubMed, accessed February 20, 2026, </w:t>
      </w:r>
      <w:hyperlink r:id="rId55">
        <w:r w:rsidDel="00000000" w:rsidR="00000000" w:rsidRPr="00000000">
          <w:rPr>
            <w:rFonts w:ascii="Google Sans" w:cs="Google Sans" w:eastAsia="Google Sans" w:hAnsi="Google Sans"/>
            <w:color w:val="0000ee"/>
            <w:sz w:val="24"/>
            <w:szCs w:val="24"/>
            <w:u w:val="single"/>
            <w:rtl w:val="0"/>
          </w:rPr>
          <w:t xml:space="preserve">https://pubmed.ncbi.nlm.nih.gov/39793445/</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Epigenetic Therapies in Endocrine-Related Cancers: Past Insights and Clinical Progress, accessed February 20, 2026, </w:t>
      </w:r>
      <w:hyperlink r:id="rId56">
        <w:r w:rsidDel="00000000" w:rsidR="00000000" w:rsidRPr="00000000">
          <w:rPr>
            <w:rFonts w:ascii="Google Sans" w:cs="Google Sans" w:eastAsia="Google Sans" w:hAnsi="Google Sans"/>
            <w:color w:val="0000ee"/>
            <w:sz w:val="24"/>
            <w:szCs w:val="24"/>
            <w:u w:val="single"/>
            <w:rtl w:val="0"/>
          </w:rPr>
          <w:t xml:space="preserve">https://www.mdpi.com/2072-6694/17/15/2418</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Therapies That Restore Apoptosis ... - Ascentage Pharma, accessed February 20, 2026, </w:t>
      </w:r>
      <w:hyperlink r:id="rId57">
        <w:r w:rsidDel="00000000" w:rsidR="00000000" w:rsidRPr="00000000">
          <w:rPr>
            <w:rFonts w:ascii="Google Sans" w:cs="Google Sans" w:eastAsia="Google Sans" w:hAnsi="Google Sans"/>
            <w:color w:val="0000ee"/>
            <w:sz w:val="24"/>
            <w:szCs w:val="24"/>
            <w:u w:val="single"/>
            <w:rtl w:val="0"/>
          </w:rPr>
          <w:t xml:space="preserve">https://www.ascentage.com/wp-content/uploads/4.Ascentage-NDR-Deck20210824V8-EN-compressed-pages-1-79-2426-51.pdf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206910Orig1s000 - accessdata.fda.gov, accessed February 20, 2026, </w:t>
      </w:r>
      <w:hyperlink r:id="rId58">
        <w:r w:rsidDel="00000000" w:rsidR="00000000" w:rsidRPr="00000000">
          <w:rPr>
            <w:rFonts w:ascii="Google Sans" w:cs="Google Sans" w:eastAsia="Google Sans" w:hAnsi="Google Sans"/>
            <w:color w:val="0000ee"/>
            <w:sz w:val="24"/>
            <w:szCs w:val="24"/>
            <w:u w:val="single"/>
            <w:rtl w:val="0"/>
          </w:rPr>
          <w:t xml:space="preserve">https://www.accessdata.fda.gov/drugsatfda_docs/nda/2015/206910Orig1s000ClinPharmR.pdf</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Beta Thalassemia Pipeline Outlook Report 2025: Promising Drugs and MOA Innovations Reshape Future Treatment Approaches | DelveInsight - Barchart.com, accessed February 20, 2026, </w:t>
      </w:r>
      <w:hyperlink r:id="rId59">
        <w:r w:rsidDel="00000000" w:rsidR="00000000" w:rsidRPr="00000000">
          <w:rPr>
            <w:rFonts w:ascii="Google Sans" w:cs="Google Sans" w:eastAsia="Google Sans" w:hAnsi="Google Sans"/>
            <w:color w:val="0000ee"/>
            <w:sz w:val="24"/>
            <w:szCs w:val="24"/>
            <w:u w:val="single"/>
            <w:rtl w:val="0"/>
          </w:rPr>
          <w:t xml:space="preserve">https://www.barchart.com/story/news/36511713/beta-thalassemia-pipeline-outlook-report-2025-promising-drugs-and-moa-innovations-reshape-future-treatment-approaches-delveinsight</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US8772503B2 - Processes for the preparation of deferasirox, and deferasirox polymorphs - Google Patents, accessed February 20, 2026, </w:t>
      </w:r>
      <w:hyperlink r:id="rId60">
        <w:r w:rsidDel="00000000" w:rsidR="00000000" w:rsidRPr="00000000">
          <w:rPr>
            <w:rFonts w:ascii="Google Sans" w:cs="Google Sans" w:eastAsia="Google Sans" w:hAnsi="Google Sans"/>
            <w:color w:val="0000ee"/>
            <w:sz w:val="24"/>
            <w:szCs w:val="24"/>
            <w:u w:val="single"/>
            <w:rtl w:val="0"/>
          </w:rPr>
          <w:t xml:space="preserve">https://patents.google.com/patent/US8772503B2/en</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Mitapivat: A Novel Treatment of Hemolytic Anemia in Adults with Pyruvate Kinase Deficiency, accessed February 20, 2026, </w:t>
      </w:r>
      <w:hyperlink r:id="rId61">
        <w:r w:rsidDel="00000000" w:rsidR="00000000" w:rsidRPr="00000000">
          <w:rPr>
            <w:rFonts w:ascii="Google Sans" w:cs="Google Sans" w:eastAsia="Google Sans" w:hAnsi="Google Sans"/>
            <w:color w:val="0000ee"/>
            <w:sz w:val="24"/>
            <w:szCs w:val="24"/>
            <w:u w:val="single"/>
            <w:rtl w:val="0"/>
          </w:rPr>
          <w:t xml:space="preserve">https://rjpbr.com/0929-8673/article/view/645172</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Synthesis and clinical application of new drugs approved by FDA in ..., accessed February 20, 2026, </w:t>
      </w:r>
      <w:hyperlink r:id="rId62">
        <w:r w:rsidDel="00000000" w:rsidR="00000000" w:rsidRPr="00000000">
          <w:rPr>
            <w:rFonts w:ascii="Google Sans" w:cs="Google Sans" w:eastAsia="Google Sans" w:hAnsi="Google Sans"/>
            <w:color w:val="0000ee"/>
            <w:sz w:val="24"/>
            <w:szCs w:val="24"/>
            <w:u w:val="single"/>
            <w:rtl w:val="0"/>
          </w:rPr>
          <w:t xml:space="preserve">https://ouci.dntb.gov.ua/en/works/42QGooX7/</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Mitapivat versus Placebo for Pyruvate Kinase Deficiency - PubMed, accessed February 20, 2026, </w:t>
      </w:r>
      <w:hyperlink r:id="rId63">
        <w:r w:rsidDel="00000000" w:rsidR="00000000" w:rsidRPr="00000000">
          <w:rPr>
            <w:rFonts w:ascii="Google Sans" w:cs="Google Sans" w:eastAsia="Google Sans" w:hAnsi="Google Sans"/>
            <w:color w:val="0000ee"/>
            <w:sz w:val="24"/>
            <w:szCs w:val="24"/>
            <w:u w:val="single"/>
            <w:rtl w:val="0"/>
          </w:rPr>
          <w:t xml:space="preserve">https://pubmed.ncbi.nlm.nih.gov/35417638/</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Vanda's motion sickness drug, Agios' thalassemia treatment make the grade with FDA, accessed February 20, 2026, </w:t>
      </w:r>
      <w:hyperlink r:id="rId64">
        <w:r w:rsidDel="00000000" w:rsidR="00000000" w:rsidRPr="00000000">
          <w:rPr>
            <w:rFonts w:ascii="Google Sans" w:cs="Google Sans" w:eastAsia="Google Sans" w:hAnsi="Google Sans"/>
            <w:color w:val="0000ee"/>
            <w:sz w:val="24"/>
            <w:szCs w:val="24"/>
            <w:u w:val="single"/>
            <w:rtl w:val="0"/>
          </w:rPr>
          <w:t xml:space="preserve">https://www.fiercepharma.com/pharma/vandas-motion-sickness-drug-and-agios-thalassemia-treatment-make-grade-fda</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Aqvesme (Mitapivat), First Oral Option for Anemia in Thalassemia, Cleared by FDA - Xtalks, accessed February 20, 2026, </w:t>
      </w:r>
      <w:hyperlink r:id="rId65">
        <w:r w:rsidDel="00000000" w:rsidR="00000000" w:rsidRPr="00000000">
          <w:rPr>
            <w:rFonts w:ascii="Google Sans" w:cs="Google Sans" w:eastAsia="Google Sans" w:hAnsi="Google Sans"/>
            <w:color w:val="0000ee"/>
            <w:sz w:val="24"/>
            <w:szCs w:val="24"/>
            <w:u w:val="single"/>
            <w:rtl w:val="0"/>
          </w:rPr>
          <w:t xml:space="preserve">https://xtalks.com/aqvesme-mitapivat-first-oral-option-for-anemia-in-thalassemia-cleared-by-fda-4577/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vesting.com/news/company-news/agios-q4-2025-slides-pyrukynd-revenue-surges-86-thalassemia-launch-underway-93CH-4503153" TargetMode="External"/><Relationship Id="rId42" Type="http://schemas.openxmlformats.org/officeDocument/2006/relationships/hyperlink" Target="https://investor.agios.com/static-files/cb4e036d-ac32-4e01-9a8f-f7397c49914b" TargetMode="External"/><Relationship Id="rId41" Type="http://schemas.openxmlformats.org/officeDocument/2006/relationships/hyperlink" Target="https://ashpublications.org/blood/article/146/Supplement%201/4699/551913/Efficacy-of-mitapivat-in-patients-with-transfusion" TargetMode="External"/><Relationship Id="rId44" Type="http://schemas.openxmlformats.org/officeDocument/2006/relationships/hyperlink" Target="https://investor.agios.com/news-releases/news-release-details/fda-accepts-agios-supplemental-new-drug-application-pyrukyndr" TargetMode="External"/><Relationship Id="rId43" Type="http://schemas.openxmlformats.org/officeDocument/2006/relationships/hyperlink" Target="https://firstwordpharma.com/story/5925197" TargetMode="External"/><Relationship Id="rId46" Type="http://schemas.openxmlformats.org/officeDocument/2006/relationships/hyperlink" Target="https://www.biospace.com/press-releases/agios-phase-3-activate-kids-study-of-mitapivat-in-children-with-pyruvate-kinase-pk-deficiency-not-regularly-transfused-met-primary-endpoint" TargetMode="External"/><Relationship Id="rId45" Type="http://schemas.openxmlformats.org/officeDocument/2006/relationships/hyperlink" Target="https://fintool.com/news/agios-fda-aqvesme-thalassemia-approv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academic.oup.com/jscd/article-pdf/2/Supplement_1/yoaf013.002/63437950/yoaf013.002.pdf" TargetMode="External"/><Relationship Id="rId47" Type="http://schemas.openxmlformats.org/officeDocument/2006/relationships/hyperlink" Target="https://thalassaemia.org.cy/uncategorized/etavopivat/" TargetMode="External"/><Relationship Id="rId49" Type="http://schemas.openxmlformats.org/officeDocument/2006/relationships/hyperlink" Target="https://sciencehub.novonordisk.com/content/dam/sciencehub/global/en/congresses-and-scientific-publications/congresses/ash2025/etavopivat/documents/Final_Inati_et_al_ASH'25_Oral_presentation_V6.0_5Dec2025_Final.pdf"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7.png"/><Relationship Id="rId31" Type="http://schemas.openxmlformats.org/officeDocument/2006/relationships/hyperlink" Target="https://pubmed.ncbi.nlm.nih.gov/37125655/" TargetMode="External"/><Relationship Id="rId30" Type="http://schemas.openxmlformats.org/officeDocument/2006/relationships/hyperlink" Target="https://ashpublications.org/blood/article/146/Supplement%201/2976/551416/Hibiscus-2-Trial-in-Progress-A-global-Phase-3" TargetMode="External"/><Relationship Id="rId33" Type="http://schemas.openxmlformats.org/officeDocument/2006/relationships/hyperlink" Target="https://www.researchgate.net/publication/333625550_Synthesis_and_Study_of_Multifunctional_Cyclodextrin-Deferasirox_Hybrids" TargetMode="External"/><Relationship Id="rId32" Type="http://schemas.openxmlformats.org/officeDocument/2006/relationships/hyperlink" Target="https://pubmed.ncbi.nlm.nih.gov/38423705/" TargetMode="External"/><Relationship Id="rId35" Type="http://schemas.openxmlformats.org/officeDocument/2006/relationships/hyperlink" Target="https://www.biospace.com/press-releases/fulcrum-therapeutics-announces-recent-business-highlights-and-financial-results-for-third-quarter-2025" TargetMode="External"/><Relationship Id="rId34" Type="http://schemas.openxmlformats.org/officeDocument/2006/relationships/hyperlink" Target="https://www.scirp.org/journal/paperinformation?paperid=38319" TargetMode="External"/><Relationship Id="rId37" Type="http://schemas.openxmlformats.org/officeDocument/2006/relationships/hyperlink" Target="https://sicklecellanemianews.com/news/pociredir-well-tolerated-shows-promising-activity-scd-trial/" TargetMode="External"/><Relationship Id="rId36" Type="http://schemas.openxmlformats.org/officeDocument/2006/relationships/hyperlink" Target="https://www.biorxiv.org/content/10.64898/2026.02.06.704516v1.full.pdf" TargetMode="External"/><Relationship Id="rId39" Type="http://schemas.openxmlformats.org/officeDocument/2006/relationships/hyperlink" Target="https://thalassaemia.org.cy/clinical-trial-updates/mitapivat-2/" TargetMode="External"/><Relationship Id="rId38" Type="http://schemas.openxmlformats.org/officeDocument/2006/relationships/hyperlink" Target="https://www.docwirenews.com/post/the-clinical-pipeline-of-ftx-6058-for-sickle-cell-disease-early-results-and-next-steps" TargetMode="External"/><Relationship Id="rId62" Type="http://schemas.openxmlformats.org/officeDocument/2006/relationships/hyperlink" Target="https://ouci.dntb.gov.ua/en/works/42QGooX7/" TargetMode="External"/><Relationship Id="rId61" Type="http://schemas.openxmlformats.org/officeDocument/2006/relationships/hyperlink" Target="https://rjpbr.com/0929-8673/article/view/645172" TargetMode="External"/><Relationship Id="rId20" Type="http://schemas.openxmlformats.org/officeDocument/2006/relationships/image" Target="media/image11.png"/><Relationship Id="rId64" Type="http://schemas.openxmlformats.org/officeDocument/2006/relationships/hyperlink" Target="https://www.fiercepharma.com/pharma/vandas-motion-sickness-drug-and-agios-thalassemia-treatment-make-grade-fda" TargetMode="External"/><Relationship Id="rId63" Type="http://schemas.openxmlformats.org/officeDocument/2006/relationships/hyperlink" Target="https://pubmed.ncbi.nlm.nih.gov/35417638/" TargetMode="External"/><Relationship Id="rId22" Type="http://schemas.openxmlformats.org/officeDocument/2006/relationships/hyperlink" Target="https://pmc.ncbi.nlm.nih.gov/articles/PMC3913144/" TargetMode="External"/><Relationship Id="rId21" Type="http://schemas.openxmlformats.org/officeDocument/2006/relationships/hyperlink" Target="https://www.fda.gov/drugs/news-events-human-drugs/fda-approves-first-oral-treatment-anemia-thalassemia-inherited-blood-disorder" TargetMode="External"/><Relationship Id="rId65" Type="http://schemas.openxmlformats.org/officeDocument/2006/relationships/hyperlink" Target="https://xtalks.com/aqvesme-mitapivat-first-oral-option-for-anemia-in-thalassemia-cleared-by-fda-4577/" TargetMode="External"/><Relationship Id="rId24" Type="http://schemas.openxmlformats.org/officeDocument/2006/relationships/hyperlink" Target="https://www.delveinsight.com/report-store/alpha-thalassemia-market" TargetMode="External"/><Relationship Id="rId23" Type="http://schemas.openxmlformats.org/officeDocument/2006/relationships/hyperlink" Target="https://investor.agios.com/node/18616/pdf" TargetMode="External"/><Relationship Id="rId60" Type="http://schemas.openxmlformats.org/officeDocument/2006/relationships/hyperlink" Target="https://patents.google.com/patent/US8772503B2/en" TargetMode="External"/><Relationship Id="rId26" Type="http://schemas.openxmlformats.org/officeDocument/2006/relationships/hyperlink" Target="https://www.marketresearch.com/OG-Analysis-v3922/Thalassemia-Drugs-Outlook-Share-Growth-42773563/" TargetMode="External"/><Relationship Id="rId25" Type="http://schemas.openxmlformats.org/officeDocument/2006/relationships/hyperlink" Target="https://www.globenewswire.com/news-release/2025/09/22/3154186/0/en/Thalassemia-Treatment-Market-to-Witness-Significant-Growth-by-2034-Driven-by-Novel-Drug-Development-DelveInsight.html" TargetMode="External"/><Relationship Id="rId28" Type="http://schemas.openxmlformats.org/officeDocument/2006/relationships/hyperlink" Target="https://ashpublications.org/thehematologist/article/doi/10.1182/hem.V22.6.202562/547778/ENERGIZE-Trials-Mitapivat-an-Oral-Pyruvate-Kinase" TargetMode="External"/><Relationship Id="rId27" Type="http://schemas.openxmlformats.org/officeDocument/2006/relationships/hyperlink" Target="https://www.vjhemonc.com/fda-grants-approval-to-mitapivat-for-non-transfusion-dependent-and-transfusion-dependent-alpha-or-beta-thalassemia/" TargetMode="External"/><Relationship Id="rId29" Type="http://schemas.openxmlformats.org/officeDocument/2006/relationships/hyperlink" Target="https://www.researchgate.net/publication/384996072_An_Alternate_Efficient_Synthetic_Process_for_a_Hemolytic_Anemia_Drug_Mitapivat_Sulfate" TargetMode="External"/><Relationship Id="rId51" Type="http://schemas.openxmlformats.org/officeDocument/2006/relationships/hyperlink" Target="https://www.researchgate.net/publication/400637221_Regulation_of_BCL11A_DNA_binding_and_expression_in_human_erythrocyte_precursor_HUDEP-2_cells" TargetMode="External"/><Relationship Id="rId50" Type="http://schemas.openxmlformats.org/officeDocument/2006/relationships/hyperlink" Target="https://mft.nhs.uk/hcc/patient-parent-carer-zone/research/" TargetMode="External"/><Relationship Id="rId53" Type="http://schemas.openxmlformats.org/officeDocument/2006/relationships/hyperlink" Target="https://seekingalpha.com/article/4834925-fulcrum-therapeutics-inc-fulc-q3-2025-earnings-call-transcript" TargetMode="External"/><Relationship Id="rId52" Type="http://schemas.openxmlformats.org/officeDocument/2006/relationships/hyperlink" Target="https://sicklecellanemianews.com/news/trial-pociredir-scd-completes-enrollment-high-dose-group/" TargetMode="External"/><Relationship Id="rId11" Type="http://schemas.openxmlformats.org/officeDocument/2006/relationships/image" Target="media/image15.png"/><Relationship Id="rId55" Type="http://schemas.openxmlformats.org/officeDocument/2006/relationships/hyperlink" Target="https://pubmed.ncbi.nlm.nih.gov/39793445/" TargetMode="External"/><Relationship Id="rId10" Type="http://schemas.openxmlformats.org/officeDocument/2006/relationships/image" Target="media/image13.png"/><Relationship Id="rId54" Type="http://schemas.openxmlformats.org/officeDocument/2006/relationships/hyperlink" Target="https://pubmed.ncbi.nlm.nih.gov/35352560/" TargetMode="External"/><Relationship Id="rId13" Type="http://schemas.openxmlformats.org/officeDocument/2006/relationships/image" Target="media/image3.png"/><Relationship Id="rId57" Type="http://schemas.openxmlformats.org/officeDocument/2006/relationships/hyperlink" Target="https://www.ascentage.com/wp-content/uploads/4.Ascentage-NDR-Deck20210824V8-EN-compressed-pages-1-79-2426-51.pdf" TargetMode="External"/><Relationship Id="rId12" Type="http://schemas.openxmlformats.org/officeDocument/2006/relationships/image" Target="media/image8.png"/><Relationship Id="rId56" Type="http://schemas.openxmlformats.org/officeDocument/2006/relationships/hyperlink" Target="https://www.mdpi.com/2072-6694/17/15/2418" TargetMode="External"/><Relationship Id="rId15" Type="http://schemas.openxmlformats.org/officeDocument/2006/relationships/image" Target="media/image14.png"/><Relationship Id="rId59" Type="http://schemas.openxmlformats.org/officeDocument/2006/relationships/hyperlink" Target="https://www.barchart.com/story/news/36511713/beta-thalassemia-pipeline-outlook-report-2025-promising-drugs-and-moa-innovations-reshape-future-treatment-approaches-delveinsight" TargetMode="External"/><Relationship Id="rId14" Type="http://schemas.openxmlformats.org/officeDocument/2006/relationships/image" Target="media/image6.png"/><Relationship Id="rId58" Type="http://schemas.openxmlformats.org/officeDocument/2006/relationships/hyperlink" Target="https://www.accessdata.fda.gov/drugsatfda_docs/nda/2015/206910Orig1s000ClinPharmR.pdf" TargetMode="External"/><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