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200"/>
        <w:rPr>
          <w:rFonts w:ascii="Calibri" w:hAnsi="Calibri"/>
        </w:rPr>
      </w:pPr>
      <w:r>
        <w:rPr>
          <w:rFonts w:ascii="Calibri" w:hAnsi="Calibri"/>
        </w:rPr>
        <w:t xml:space="preserve">Sales Sharing Strategy — </w:t>
      </w:r>
      <w:r>
        <w:rPr>
          <w:rFonts w:ascii="Calibri" w:hAnsi="Calibri"/>
          <w:b/>
          <w:bCs/>
        </w:rPr>
        <w:t>Scriptronaut</w:t>
      </w:r>
    </w:p>
    <w:p>
      <w:pPr>
        <w:pStyle w:val="Normal"/>
        <w:spacing w:before="0" w:after="240"/>
        <w:rPr>
          <w:rFonts w:ascii="Calibri" w:hAnsi="Calibri"/>
        </w:rPr>
      </w:pPr>
      <w:r>
        <w:rPr>
          <w:i/>
          <w:iCs/>
          <w:color w:val="666666"/>
          <w:sz w:val="20"/>
          <w:szCs w:val="20"/>
        </w:rPr>
        <w:t>Last updated: [2026-0</w:t>
      </w:r>
      <w:r>
        <w:rPr>
          <w:i/>
          <w:iCs/>
          <w:color w:val="666666"/>
          <w:sz w:val="20"/>
          <w:szCs w:val="20"/>
        </w:rPr>
        <w:t>9</w:t>
      </w:r>
      <w:r>
        <w:rPr>
          <w:i/>
          <w:iCs/>
          <w:color w:val="666666"/>
          <w:sz w:val="20"/>
          <w:szCs w:val="20"/>
        </w:rPr>
        <w:t>-</w:t>
      </w:r>
      <w:r>
        <w:rPr>
          <w:i/>
          <w:iCs/>
          <w:color w:val="666666"/>
          <w:sz w:val="20"/>
          <w:szCs w:val="20"/>
        </w:rPr>
        <w:t>24</w:t>
      </w:r>
      <w:r>
        <w:rPr>
          <w:i/>
          <w:iCs/>
          <w:color w:val="666666"/>
          <w:sz w:val="20"/>
          <w:szCs w:val="20"/>
        </w:rPr>
        <w:t>]  ·  Owners: [Stephane Barbin, Scot Thomson]</w:t>
      </w:r>
    </w:p>
    <w:p>
      <w:pPr>
        <w:pStyle w:val="Normal"/>
        <w:spacing w:before="0" w:after="240"/>
        <w:rPr>
          <w:rFonts w:ascii="Calibri" w:hAnsi="Calibri"/>
        </w:rPr>
      </w:pPr>
      <w:r>
        <w:rPr/>
      </w:r>
    </w:p>
    <w:p>
      <w:pPr>
        <w:pStyle w:val="Heading2"/>
        <w:spacing w:before="240" w:after="120"/>
        <w:rPr>
          <w:rFonts w:ascii="Calibri" w:hAnsi="Calibri"/>
        </w:rPr>
      </w:pPr>
      <w:r>
        <w:rPr>
          <w:rFonts w:ascii="Calibri" w:hAnsi="Calibri"/>
        </w:rPr>
        <w:t>Market Platforms (SuperHive, Gumroad...)</w:t>
      </w:r>
    </w:p>
    <w:p>
      <w:pPr>
        <w:pStyle w:val="Normal"/>
        <w:rPr>
          <w:b/>
          <w:bCs/>
        </w:rPr>
      </w:pPr>
      <w:r>
        <w:rPr>
          <w:b/>
          <w:bCs/>
        </w:rPr>
        <w:t>How standard third-party platforms handle access: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BodyText"/>
        <w:numPr>
          <w:ilvl w:val="0"/>
          <w:numId w:val="0"/>
        </w:numPr>
        <w:ind w:hanging="0" w:start="0"/>
        <w:rPr>
          <w:rFonts w:ascii="Calibri" w:hAnsi="Calibri"/>
          <w:b w:val="false"/>
          <w:bCs w:val="false"/>
          <w:strike w:val="false"/>
          <w:dstrike w:val="false"/>
        </w:rPr>
      </w:pPr>
      <w:r>
        <w:rPr>
          <w:b w:val="false"/>
          <w:bCs w:val="false"/>
          <w:strike w:val="false"/>
          <w:dstrike w:val="false"/>
        </w:rPr>
        <w:t>YouTube (Built-in Multi-User Sharing)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ind w:hanging="283" w:start="1418"/>
        <w:rPr>
          <w:rFonts w:ascii="Calibri" w:hAnsi="Calibri"/>
          <w:b w:val="false"/>
          <w:bCs w:val="false"/>
          <w:strike w:val="false"/>
          <w:dstrike w:val="false"/>
        </w:rPr>
      </w:pPr>
      <w:r>
        <w:rPr>
          <w:b w:val="false"/>
          <w:bCs w:val="false"/>
          <w:strike w:val="false"/>
          <w:dstrike w:val="false"/>
        </w:rPr>
        <w:t>No password sharing needed. By setting up a YouTube Brand Account, you can invite your partner’s personal email address as an Owner or Manager. They sign in with their own password and switch to the channel seamlessly.</w:t>
      </w:r>
    </w:p>
    <w:p>
      <w:pPr>
        <w:pStyle w:val="BodyText"/>
        <w:numPr>
          <w:ilvl w:val="0"/>
          <w:numId w:val="0"/>
        </w:numPr>
        <w:ind w:hanging="0" w:start="0"/>
        <w:rPr>
          <w:rFonts w:ascii="Calibri" w:hAnsi="Calibri"/>
          <w:b w:val="false"/>
          <w:bCs w:val="false"/>
          <w:strike w:val="false"/>
          <w:dstrike w:val="false"/>
        </w:rPr>
      </w:pPr>
      <w:r>
        <w:rPr>
          <w:b w:val="false"/>
          <w:bCs w:val="false"/>
          <w:strike w:val="false"/>
          <w:dstrike w:val="false"/>
        </w:rPr>
        <w:t>Gumroad (Built-in Multi-User Sharing)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ind w:hanging="283" w:start="1418"/>
        <w:rPr>
          <w:rFonts w:ascii="Calibri" w:hAnsi="Calibri"/>
          <w:b w:val="false"/>
          <w:bCs w:val="false"/>
          <w:strike w:val="false"/>
          <w:dstrike w:val="false"/>
        </w:rPr>
      </w:pPr>
      <w:r>
        <w:rPr>
          <w:b w:val="false"/>
          <w:bCs w:val="false"/>
          <w:strike w:val="false"/>
          <w:dstrike w:val="false"/>
        </w:rPr>
        <w:t>No password sharing needed. Gumroad has a native Collaborators / Team feature. You can add your partner's email address under your product or account settings with a specific role (or as a product collaborator to split payout revenue automatically). They log in via their own account to manage listings.</w:t>
      </w:r>
    </w:p>
    <w:p>
      <w:pPr>
        <w:pStyle w:val="BodyText"/>
        <w:numPr>
          <w:ilvl w:val="0"/>
          <w:numId w:val="0"/>
        </w:numPr>
        <w:ind w:hanging="0" w:start="0"/>
        <w:rPr>
          <w:rFonts w:ascii="Calibri" w:hAnsi="Calibri"/>
          <w:b w:val="false"/>
          <w:bCs w:val="false"/>
          <w:strike w:val="false"/>
          <w:dstrike w:val="false"/>
        </w:rPr>
      </w:pPr>
      <w:r>
        <w:rPr>
          <w:b w:val="false"/>
          <w:bCs w:val="false"/>
          <w:strike w:val="false"/>
          <w:dstrike w:val="false"/>
        </w:rPr>
        <w:t>SuperHive (Password Sharing Required)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ind w:hanging="283" w:start="1418"/>
        <w:rPr>
          <w:rFonts w:ascii="Calibri" w:hAnsi="Calibri"/>
          <w:b w:val="false"/>
          <w:bCs w:val="false"/>
          <w:strike w:val="false"/>
          <w:dstrike w:val="false"/>
        </w:rPr>
      </w:pPr>
      <w:r>
        <w:rPr>
          <w:b w:val="false"/>
          <w:bCs w:val="false"/>
          <w:strike w:val="false"/>
          <w:dstrike w:val="false"/>
        </w:rPr>
        <w:t>Password sharing is required. SuperHive functions as a single-creator marketplace account tied directly to a single login email and password. There is no built-in team management console or sub-user access level. There’s is only a split commision feature.</w:t>
      </w:r>
    </w:p>
    <w:p>
      <w:pPr>
        <w:pStyle w:val="BodyText"/>
        <w:numPr>
          <w:ilvl w:val="0"/>
          <w:numId w:val="0"/>
        </w:numPr>
        <w:ind w:hanging="0" w:start="0"/>
        <w:rPr>
          <w:rFonts w:ascii="Calibri" w:hAnsi="Calibri"/>
          <w:b w:val="false"/>
          <w:bCs w:val="false"/>
          <w:strike w:val="false"/>
          <w:dstrike w:val="false"/>
        </w:rPr>
      </w:pPr>
      <w:r>
        <w:rPr>
          <w:b w:val="false"/>
          <w:bCs w:val="false"/>
          <w:strike w:val="false"/>
          <w:dstrike w:val="false"/>
        </w:rPr>
        <w:t>Other Common Third-Party Tools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ind w:hanging="283" w:start="1418"/>
        <w:rPr>
          <w:rFonts w:ascii="Calibri" w:hAnsi="Calibri"/>
          <w:b w:val="false"/>
          <w:bCs w:val="false"/>
          <w:strike w:val="false"/>
          <w:dstrike w:val="false"/>
        </w:rPr>
      </w:pPr>
      <w:r>
        <w:rPr>
          <w:b w:val="false"/>
          <w:bCs w:val="false"/>
          <w:strike w:val="false"/>
          <w:dstrike w:val="false"/>
        </w:rPr>
        <w:t>Stripe / PayPal: Both support inviting secondary team members with restricted permissions (e.g., viewing payouts without full account control).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ind w:hanging="283" w:start="1418"/>
        <w:rPr>
          <w:rFonts w:ascii="Calibri" w:hAnsi="Calibri"/>
          <w:b w:val="false"/>
          <w:bCs w:val="false"/>
          <w:strike w:val="false"/>
          <w:dstrike w:val="false"/>
        </w:rPr>
      </w:pPr>
      <w:r>
        <w:rPr>
          <w:b w:val="false"/>
          <w:bCs w:val="false"/>
          <w:strike w:val="false"/>
          <w:dstrike w:val="false"/>
        </w:rPr>
        <w:t>Social Media (X/Twitter, Instagram, TikTok): Most standard social platforms do not have built-in team role delegation unless using third-party social media management software (like Buffer or Hootsuite) or Meta Business Manager for Instagram.</w:t>
      </w:r>
    </w:p>
    <w:p>
      <w:pPr>
        <w:pStyle w:val="BodyText"/>
        <w:numPr>
          <w:ilvl w:val="0"/>
          <w:numId w:val="0"/>
        </w:numPr>
        <w:tabs>
          <w:tab w:val="clear" w:pos="720"/>
          <w:tab w:val="left" w:pos="0" w:leader="none"/>
        </w:tabs>
        <w:ind w:hanging="0" w:start="0"/>
        <w:rPr>
          <w:rFonts w:ascii="Calibri" w:hAnsi="Calibri"/>
          <w:b w:val="false"/>
          <w:bCs w:val="false"/>
          <w:strike w:val="false"/>
          <w:dstrike w:val="false"/>
        </w:rPr>
      </w:pPr>
      <w:r>
        <w:rPr>
          <w:b w:val="false"/>
          <w:bCs w:val="false"/>
          <w:strike w:val="false"/>
          <w:dstrike w:val="false"/>
        </w:rPr>
        <w:t>Wordpress (Built-in Multi-User Sharing)</w:t>
      </w:r>
    </w:p>
    <w:p>
      <w:pPr>
        <w:pStyle w:val="BodyText"/>
        <w:rPr>
          <w:rFonts w:ascii="Calibri" w:hAnsi="Calibri"/>
          <w:b w:val="false"/>
          <w:bCs w:val="false"/>
          <w:strike w:val="false"/>
          <w:dstrike w:val="false"/>
        </w:rPr>
      </w:pPr>
      <w:r>
        <w:rPr>
          <w:b w:val="false"/>
          <w:bCs w:val="false"/>
          <w:strike w:val="false"/>
          <w:dstrike w:val="false"/>
        </w:rPr>
      </w:r>
    </w:p>
    <w:p>
      <w:pPr>
        <w:pStyle w:val="Heading2"/>
        <w:spacing w:before="240" w:after="120"/>
        <w:rPr>
          <w:rFonts w:ascii="Calibri" w:hAnsi="Calibri"/>
        </w:rPr>
      </w:pPr>
      <w:r>
        <w:rPr>
          <w:rFonts w:ascii="Calibri" w:hAnsi="Calibri"/>
        </w:rPr>
        <w:t>The Best Strategy for Canadian Partners</w:t>
      </w:r>
    </w:p>
    <w:p>
      <w:pPr>
        <w:pStyle w:val="Heading4"/>
        <w:rPr>
          <w:rFonts w:ascii="Calibri" w:hAnsi="Calibri"/>
          <w:b/>
          <w:bCs/>
          <w:i w:val="false"/>
          <w:iCs w:val="false"/>
          <w:color w:val="auto"/>
          <w:sz w:val="22"/>
          <w:szCs w:val="22"/>
        </w:rPr>
      </w:pPr>
      <w:r>
        <w:rPr>
          <w:rFonts w:ascii="Calibri" w:hAnsi="Calibri"/>
          <w:b/>
          <w:bCs/>
          <w:i w:val="false"/>
          <w:iCs w:val="false"/>
          <w:color w:val="auto"/>
          <w:sz w:val="22"/>
          <w:szCs w:val="22"/>
        </w:rPr>
        <w:t>Price Your Products in USD</w:t>
      </w:r>
    </w:p>
    <w:p>
      <w:pPr>
        <w:pStyle w:val="BodyText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>Most digital marketplace buyers (especially for assets, 3D models, tools, and plugins) expect pricing in USD. Keeping base prices in USD prevents unnecessary double-conversions on international sales.</w:t>
      </w:r>
    </w:p>
    <w:p>
      <w:pPr>
        <w:pStyle w:val="Heading4"/>
        <w:rPr>
          <w:rFonts w:ascii="Calibri" w:hAnsi="Calibri"/>
          <w:b/>
          <w:bCs/>
          <w:i w:val="false"/>
          <w:iCs w:val="false"/>
          <w:color w:val="auto"/>
          <w:sz w:val="22"/>
          <w:szCs w:val="22"/>
        </w:rPr>
      </w:pPr>
      <w:r>
        <w:rPr>
          <w:rFonts w:ascii="Calibri" w:hAnsi="Calibri"/>
          <w:b/>
          <w:bCs/>
          <w:i w:val="false"/>
          <w:iCs w:val="false"/>
          <w:color w:val="auto"/>
          <w:sz w:val="22"/>
          <w:szCs w:val="22"/>
        </w:rPr>
        <w:t>Avoid PayPal FX Transfers if Possible</w:t>
      </w:r>
    </w:p>
    <w:p>
      <w:pPr>
        <w:pStyle w:val="BodyText"/>
        <w:rPr>
          <w:rFonts w:ascii="Calibri" w:hAnsi="Calibri"/>
          <w:i w:val="false"/>
          <w:iCs w:val="false"/>
          <w:color w:val="auto"/>
          <w:sz w:val="22"/>
          <w:szCs w:val="22"/>
        </w:rPr>
      </w:pPr>
      <w:r>
        <w:rPr>
          <w:i w:val="false"/>
          <w:iCs w:val="false"/>
          <w:color w:val="auto"/>
          <w:sz w:val="22"/>
          <w:szCs w:val="22"/>
        </w:rPr>
        <w:t>If you must use PayPal, avoid letting PayPal perform the USD-to-CAD conversion.</w:t>
      </w:r>
    </w:p>
    <w:p>
      <w:pPr>
        <w:pStyle w:val="Heading4"/>
        <w:rPr>
          <w:rFonts w:ascii="Calibri" w:hAnsi="Calibri"/>
          <w:b/>
          <w:bCs/>
          <w:i w:val="false"/>
          <w:iCs w:val="false"/>
          <w:color w:val="auto"/>
          <w:sz w:val="22"/>
          <w:szCs w:val="22"/>
        </w:rPr>
      </w:pPr>
      <w:r>
        <w:rPr>
          <w:rFonts w:ascii="Calibri" w:hAnsi="Calibri"/>
          <w:b/>
          <w:bCs/>
          <w:i w:val="false"/>
          <w:iCs w:val="false"/>
          <w:color w:val="auto"/>
          <w:sz w:val="22"/>
          <w:szCs w:val="22"/>
        </w:rPr>
        <w:t>Best Route: Direct Bank Payouts or a Wise Business Account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rPr>
          <w:rFonts w:ascii="Calibri" w:hAnsi="Calibri"/>
          <w:i w:val="false"/>
          <w:iCs w:val="false"/>
          <w:color w:val="auto"/>
          <w:sz w:val="22"/>
          <w:szCs w:val="22"/>
        </w:rPr>
      </w:pPr>
      <w:r>
        <w:rPr>
          <w:b/>
          <w:i w:val="false"/>
          <w:iCs w:val="false"/>
          <w:color w:val="auto"/>
          <w:sz w:val="22"/>
          <w:szCs w:val="22"/>
        </w:rPr>
        <w:t>Direct Bank Transfer:</w:t>
      </w:r>
      <w:r>
        <w:rPr>
          <w:i w:val="false"/>
          <w:iCs w:val="false"/>
          <w:color w:val="auto"/>
          <w:sz w:val="22"/>
          <w:szCs w:val="22"/>
        </w:rPr>
        <w:t xml:space="preserve"> Linking a Canadian bank account directly to Gumroad allows Gumroad's payout system to convert USD to CAD at their wholesale rate (which is generally much lower than PayPal's 3.5%+ markup).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rPr>
          <w:rFonts w:ascii="Calibri" w:hAnsi="Calibri"/>
          <w:i w:val="false"/>
          <w:iCs w:val="false"/>
          <w:sz w:val="22"/>
          <w:szCs w:val="22"/>
        </w:rPr>
      </w:pPr>
      <w:r>
        <w:rPr>
          <w:b/>
          <w:i w:val="false"/>
          <w:iCs w:val="false"/>
          <w:sz w:val="22"/>
          <w:szCs w:val="22"/>
        </w:rPr>
        <w:t>Wise (formerly TransferWise) Multi-Currency Account:</w:t>
      </w:r>
      <w:r>
        <w:rPr>
          <w:i w:val="false"/>
          <w:iCs w:val="false"/>
          <w:sz w:val="22"/>
          <w:szCs w:val="22"/>
        </w:rPr>
        <w:t xml:space="preserve"> You can open a free/low-cost </w:t>
      </w:r>
      <w:r>
        <w:rPr>
          <w:b/>
          <w:i w:val="false"/>
          <w:iCs w:val="false"/>
          <w:sz w:val="22"/>
          <w:szCs w:val="22"/>
        </w:rPr>
        <w:t>Wise Business account</w:t>
      </w:r>
      <w:r>
        <w:rPr>
          <w:i w:val="false"/>
          <w:iCs w:val="false"/>
          <w:sz w:val="22"/>
          <w:szCs w:val="22"/>
        </w:rPr>
        <w:t xml:space="preserve"> that gives you local </w:t>
      </w:r>
      <w:r>
        <w:rPr>
          <w:b/>
          <w:i w:val="false"/>
          <w:iCs w:val="false"/>
          <w:sz w:val="22"/>
          <w:szCs w:val="22"/>
        </w:rPr>
        <w:t>US routing and account numbers</w:t>
      </w:r>
      <w:r>
        <w:rPr>
          <w:i w:val="false"/>
          <w:iCs w:val="false"/>
          <w:sz w:val="22"/>
          <w:szCs w:val="22"/>
        </w:rPr>
        <w:t>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ind w:hanging="283" w:start="1418"/>
        <w:rPr>
          <w:rFonts w:ascii="Calibri" w:hAnsi="Calibri"/>
          <w:i w:val="false"/>
          <w:iCs w:val="false"/>
          <w:sz w:val="22"/>
          <w:szCs w:val="22"/>
        </w:rPr>
      </w:pPr>
      <w:r>
        <w:rPr>
          <w:i w:val="false"/>
          <w:iCs w:val="false"/>
          <w:sz w:val="22"/>
          <w:szCs w:val="22"/>
        </w:rPr>
        <w:t>Platforms like Gumroad or SuperHive treat your Wise account as a domestic US bank account and send full, un-converted USD.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ind w:hanging="283" w:start="1418"/>
        <w:rPr>
          <w:rFonts w:ascii="Calibri" w:hAnsi="Calibri"/>
          <w:sz w:val="22"/>
          <w:szCs w:val="22"/>
        </w:rPr>
      </w:pPr>
      <w:r>
        <w:rPr>
          <w:i w:val="false"/>
          <w:iCs w:val="false"/>
          <w:sz w:val="22"/>
          <w:szCs w:val="22"/>
        </w:rPr>
        <w:t xml:space="preserve">You can then convert USD to CAD inside Wise </w:t>
      </w:r>
      <w:r>
        <w:rPr>
          <w:sz w:val="22"/>
          <w:szCs w:val="22"/>
        </w:rPr>
        <w:t>at the mid-market rate with a minimal fee (~0.45%), saving a significant percentage compared to PayPal or traditional Canadian big-bank FX fees.</w:t>
      </w:r>
    </w:p>
    <w:p>
      <w:pPr>
        <w:pStyle w:val="Normal"/>
        <w:rPr>
          <w:rFonts w:ascii="Calibri" w:hAnsi="Calibri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>
          <w:rFonts w:ascii="Calibri" w:hAnsi="Calibri"/>
        </w:rPr>
      </w:pPr>
      <w:r>
        <w:rPr>
          <w:rFonts w:ascii="Calibri" w:hAnsi="Calibri"/>
        </w:rPr>
        <w:t>Note</w:t>
      </w:r>
    </w:p>
    <w:p>
      <w:pPr>
        <w:pStyle w:val="Normal"/>
        <w:rPr/>
      </w:pPr>
      <w:r>
        <w:rPr/>
        <w:t>- Think of fees, e.g. accounts, money conversion/exchange rates</w:t>
      </w:r>
    </w:p>
    <w:p>
      <w:pPr>
        <w:pStyle w:val="Normal"/>
        <w:rPr/>
      </w:pPr>
      <w:r>
        <w:rPr/>
        <w:t>- Think of 2FA, if sharing same account password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CA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2"/>
      <w:szCs w:val="22"/>
      <w:lang w:val="en-CA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CA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67</TotalTime>
  <Application>LibreOffice/26.2.5.2$Windows_X86_64 LibreOffice_project/cd7284b4cbbfeb507e630c1aac019f4157393acb</Application>
  <AppVersion>15.0000</AppVersion>
  <Pages>2</Pages>
  <Words>420</Words>
  <Characters>2391</Characters>
  <CharactersWithSpaces>2777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2026-08-16T15:07:21Z</dcterms:created>
  <dc:creator>Un-named</dc:creator>
  <dc:description/>
  <dc:language>en-CA</dc:language>
  <cp:lastModifiedBy>Stephane Barbin</cp:lastModifiedBy>
  <dcterms:modified xsi:type="dcterms:W3CDTF">2026-09-24T14:46:32Z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