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03066B3B" w14:textId="29CABC03" w:rsidR="009828E4" w:rsidRPr="009828E4" w:rsidRDefault="009828E4" w:rsidP="009828E4">
            <w:pPr>
              <w:rPr>
                <w:rFonts w:cs="Arial"/>
                <w:b/>
                <w:i/>
                <w:sz w:val="40"/>
                <w:szCs w:val="40"/>
              </w:rPr>
            </w:pPr>
            <w:r w:rsidRPr="009828E4">
              <w:rPr>
                <w:rFonts w:cs="Arial"/>
                <w:b/>
                <w:i/>
                <w:sz w:val="40"/>
                <w:szCs w:val="40"/>
              </w:rPr>
              <w:t xml:space="preserve">This version of the Agreement is in place for the duration of the emergency COVID-19 procedures (until </w:t>
            </w:r>
            <w:r w:rsidR="006E6379">
              <w:rPr>
                <w:rFonts w:cs="Arial"/>
                <w:b/>
                <w:i/>
                <w:sz w:val="40"/>
                <w:szCs w:val="40"/>
              </w:rPr>
              <w:t>6</w:t>
            </w:r>
            <w:bookmarkStart w:id="0" w:name="_GoBack"/>
            <w:bookmarkEnd w:id="0"/>
            <w:r w:rsidRPr="009828E4">
              <w:rPr>
                <w:rFonts w:cs="Arial"/>
                <w:b/>
                <w:i/>
                <w:sz w:val="40"/>
                <w:szCs w:val="40"/>
              </w:rPr>
              <w:t xml:space="preserve"> October 2020 unless extended)</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03809B69" w:rsidR="009828E4" w:rsidRPr="009828E4" w:rsidRDefault="009828E4" w:rsidP="009828E4">
            <w:pPr>
              <w:pStyle w:val="NoSpacing"/>
              <w:rPr>
                <w:rFonts w:ascii="Arial" w:hAnsi="Arial"/>
                <w:b/>
                <w:bCs/>
              </w:rPr>
            </w:pPr>
            <w:r w:rsidRPr="009828E4">
              <w:rPr>
                <w:rFonts w:ascii="Arial" w:hAnsi="Arial"/>
                <w:b/>
                <w:bCs/>
              </w:rPr>
              <w:t>April 2020</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77777777"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w:t>
      </w:r>
      <w:proofErr w:type="gramStart"/>
      <w:r w:rsidRPr="009425DA">
        <w:rPr>
          <w:sz w:val="24"/>
        </w:rPr>
        <w:t>period, 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w:t>
      </w:r>
      <w:proofErr w:type="gramStart"/>
      <w:r w:rsidRPr="009425DA">
        <w:rPr>
          <w:b/>
          <w:sz w:val="24"/>
        </w:rPr>
        <w:t>make a decision</w:t>
      </w:r>
      <w:proofErr w:type="gramEnd"/>
      <w:r w:rsidRPr="009425DA">
        <w:rPr>
          <w:b/>
          <w:sz w:val="24"/>
        </w:rPr>
        <w:t xml:space="preserve"> on whether it is fair.  </w:t>
      </w:r>
    </w:p>
    <w:p w14:paraId="179744D2" w14:textId="77777777" w:rsidR="00EF3E04" w:rsidRPr="004A146A" w:rsidRDefault="00EF3E04" w:rsidP="00EF3E04">
      <w:pPr>
        <w:ind w:left="360"/>
        <w:contextualSpacing/>
        <w:rPr>
          <w:sz w:val="4"/>
          <w:szCs w:val="4"/>
        </w:rPr>
      </w:pPr>
    </w:p>
    <w:p w14:paraId="2137E084" w14:textId="77777777"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77777777"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A95E1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A95E1B">
      <w:pPr>
        <w:numPr>
          <w:ilvl w:val="0"/>
          <w:numId w:val="46"/>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A95E1B">
      <w:pPr>
        <w:numPr>
          <w:ilvl w:val="0"/>
          <w:numId w:val="46"/>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A95E1B">
      <w:pPr>
        <w:numPr>
          <w:ilvl w:val="0"/>
          <w:numId w:val="46"/>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A95E1B">
      <w:pPr>
        <w:numPr>
          <w:ilvl w:val="0"/>
          <w:numId w:val="46"/>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3F1898">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3F1898">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3F1898">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3F1898">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3F1898">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3F1898">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3F1898">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3F1898">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3F1898">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3F1898">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3F1898">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3F1898">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3F1898">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3F1898">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3F1898">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3F1898">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3F1898">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3F1898">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3F1898">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3F1898">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3F1898">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3F1898">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3F1898">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3F1898">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3F1898">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3F1898">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3F1898">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3F1898">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3F1898">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3F1898">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3F1898">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3F1898">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3F1898">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3F1898">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3F1898">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3F1898">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3F1898">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3F1898">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3F1898">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3F1898">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3F1898">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3F1898">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3F1898">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3F1898">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3F1898">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1" w:name="_Toc190616"/>
      <w:r w:rsidRPr="002B1B30">
        <w:rPr>
          <w:rFonts w:cs="Arial"/>
          <w:b/>
        </w:rPr>
        <w:lastRenderedPageBreak/>
        <w:t>SECTION 1</w:t>
      </w:r>
      <w:r w:rsidR="0047088F" w:rsidRPr="002B1B30">
        <w:rPr>
          <w:rFonts w:cs="Arial"/>
          <w:b/>
        </w:rPr>
        <w:t xml:space="preserve">: </w:t>
      </w:r>
      <w:bookmarkEnd w:id="1"/>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77777777"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7777777" w:rsidR="0055131A" w:rsidRDefault="0055131A" w:rsidP="0055131A">
      <w:pPr>
        <w:rPr>
          <w:sz w:val="24"/>
          <w:szCs w:val="24"/>
        </w:rPr>
      </w:pPr>
      <w:r>
        <w:rPr>
          <w:sz w:val="24"/>
          <w:szCs w:val="24"/>
        </w:rPr>
        <w:t xml:space="preserve">Some of the mandatory and discretionary clauses contain square brackets [     </w:t>
      </w:r>
      <w:proofErr w:type="gramStart"/>
      <w:r>
        <w:rPr>
          <w:sz w:val="24"/>
          <w:szCs w:val="24"/>
        </w:rPr>
        <w:t xml:space="preserve">  ]</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2" w:name="_Ref462311149"/>
      <w:bookmarkStart w:id="3"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2"/>
      <w:r w:rsidR="0025017D" w:rsidRPr="002B1B30">
        <w:rPr>
          <w:rFonts w:cs="Arial"/>
          <w:b/>
        </w:rPr>
        <w:t xml:space="preserve"> &amp; INTERPRETATION</w:t>
      </w:r>
      <w:bookmarkEnd w:id="3"/>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4"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4"/>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5" w:name="_Toc190619"/>
      <w:r w:rsidRPr="002B1B30">
        <w:rPr>
          <w:rFonts w:cs="Arial"/>
          <w:b/>
          <w:sz w:val="28"/>
          <w:szCs w:val="28"/>
        </w:rPr>
        <w:t>TENANT</w:t>
      </w:r>
      <w:bookmarkEnd w:id="5"/>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6" w:name="_Toc190620"/>
      <w:r w:rsidRPr="002B1B30">
        <w:rPr>
          <w:rFonts w:cs="Arial"/>
          <w:b/>
          <w:sz w:val="28"/>
          <w:szCs w:val="28"/>
        </w:rPr>
        <w:t>LETTING AGENT</w:t>
      </w:r>
      <w:bookmarkEnd w:id="6"/>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7" w:name="_Toc190621"/>
      <w:r w:rsidRPr="002B1B30">
        <w:rPr>
          <w:rFonts w:cs="Arial"/>
          <w:b/>
          <w:sz w:val="28"/>
          <w:szCs w:val="28"/>
        </w:rPr>
        <w:t>LANDLORD</w:t>
      </w:r>
      <w:bookmarkEnd w:id="7"/>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8" w:name="_Toc190622"/>
      <w:r w:rsidRPr="002B1B30">
        <w:rPr>
          <w:rFonts w:cs="Arial"/>
          <w:b/>
          <w:sz w:val="28"/>
          <w:szCs w:val="28"/>
        </w:rPr>
        <w:t>COMMUNICATION</w:t>
      </w:r>
      <w:bookmarkEnd w:id="8"/>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9" w:name="_Toc190623"/>
      <w:r w:rsidRPr="002B1B30">
        <w:rPr>
          <w:rFonts w:cs="Arial"/>
          <w:b/>
          <w:sz w:val="28"/>
          <w:szCs w:val="28"/>
        </w:rPr>
        <w:t>DETAILS OF THE LET PROPERTY</w:t>
      </w:r>
      <w:bookmarkEnd w:id="9"/>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10" w:name="_Toc190624"/>
      <w:r w:rsidRPr="002B1B30">
        <w:rPr>
          <w:rFonts w:cs="Arial"/>
          <w:b/>
          <w:sz w:val="28"/>
          <w:szCs w:val="28"/>
        </w:rPr>
        <w:t>START DATE OF THE TENANCY</w:t>
      </w:r>
      <w:bookmarkEnd w:id="10"/>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1" w:name="_Toc190625"/>
      <w:r w:rsidRPr="002B1B30">
        <w:rPr>
          <w:rFonts w:cs="Arial"/>
          <w:b/>
          <w:sz w:val="28"/>
          <w:szCs w:val="28"/>
        </w:rPr>
        <w:t>OCCUPATION AND USE OF THE LET PROPERTY</w:t>
      </w:r>
      <w:bookmarkEnd w:id="11"/>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2" w:name="_Toc190626"/>
      <w:r w:rsidRPr="002B1B30">
        <w:rPr>
          <w:rFonts w:cs="Arial"/>
          <w:b/>
          <w:sz w:val="28"/>
          <w:szCs w:val="28"/>
        </w:rPr>
        <w:t>RENT</w:t>
      </w:r>
      <w:bookmarkEnd w:id="12"/>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rentAmount</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firstPaymentAmount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firstPaymentPeriodEnd</w:t>
      </w:r>
      <w:proofErr w:type="spellEnd"/>
      <w:r w:rsidR="007D1C08" w:rsidRPr="002B1B30">
        <w:rPr>
          <w:rFonts w:cs="Arial"/>
          <w:b/>
          <w:sz w:val="24"/>
          <w:szCs w:val="24"/>
        </w:rPr>
        <w:t>»</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596427">
        <w:rPr>
          <w:rFonts w:cs="Arial"/>
          <w:b/>
          <w:sz w:val="24"/>
          <w:szCs w:val="24"/>
        </w:rPr>
        <w:t>originalR</w:t>
      </w:r>
      <w:r w:rsidR="00B45D5D" w:rsidRPr="002B1B30">
        <w:rPr>
          <w:rFonts w:cs="Arial"/>
          <w:b/>
          <w:sz w:val="24"/>
          <w:szCs w:val="24"/>
        </w:rPr>
        <w:t>entAmount</w:t>
      </w:r>
      <w:proofErr w:type="spellEnd"/>
      <w:r w:rsidR="00B45D5D" w:rsidRPr="002B1B30">
        <w:rPr>
          <w:rFonts w:cs="Arial"/>
          <w:b/>
          <w:sz w:val="24"/>
          <w:szCs w:val="24"/>
        </w:rPr>
        <w: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3" w:name="_Toc190627"/>
      <w:r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190628"/>
      <w:r w:rsidRPr="002B1B30">
        <w:rPr>
          <w:rFonts w:cs="Arial"/>
          <w:b/>
          <w:sz w:val="28"/>
          <w:szCs w:val="28"/>
        </w:rPr>
        <w:t>RENT INCREASES</w:t>
      </w:r>
      <w:bookmarkEnd w:id="14"/>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5" w:name="_Toc190629"/>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190630"/>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7" w:name="_Toc190631"/>
      <w:r w:rsidRPr="002B1B30">
        <w:rPr>
          <w:rFonts w:cs="Arial"/>
          <w:b/>
          <w:sz w:val="28"/>
          <w:szCs w:val="28"/>
        </w:rPr>
        <w:t>NOTIFICATION ABOUT OTHER RESIDENTS</w:t>
      </w:r>
      <w:bookmarkEnd w:id="17"/>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190632"/>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190633"/>
      <w:r w:rsidRPr="002B1B30">
        <w:rPr>
          <w:rFonts w:cs="Arial"/>
          <w:b/>
          <w:sz w:val="28"/>
          <w:szCs w:val="28"/>
        </w:rPr>
        <w:t>INSURANCE</w:t>
      </w:r>
      <w:bookmarkEnd w:id="19"/>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190634"/>
      <w:r w:rsidRPr="002B1B30">
        <w:rPr>
          <w:rFonts w:cs="Arial"/>
          <w:b/>
          <w:sz w:val="28"/>
          <w:szCs w:val="28"/>
        </w:rPr>
        <w:t>ABSENCES</w:t>
      </w:r>
      <w:bookmarkEnd w:id="20"/>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190635"/>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190636"/>
      <w:r w:rsidRPr="002B1B30">
        <w:rPr>
          <w:rFonts w:cs="Arial"/>
          <w:b/>
          <w:sz w:val="28"/>
          <w:szCs w:val="28"/>
        </w:rPr>
        <w:t>THE REPAIRING STANDARD etc. AND OTHER INFORMATION</w:t>
      </w:r>
      <w:bookmarkEnd w:id="22"/>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3" w:name="_Toc190637"/>
      <w:r w:rsidRPr="00FA5034">
        <w:rPr>
          <w:rFonts w:cs="Arial"/>
          <w:b/>
        </w:rPr>
        <w:t>THE REPAIRING STANDARD</w:t>
      </w:r>
      <w:bookmarkEnd w:id="23"/>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190638"/>
      <w:r w:rsidRPr="002B1B30">
        <w:rPr>
          <w:rFonts w:cs="Arial"/>
          <w:b/>
        </w:rPr>
        <w:lastRenderedPageBreak/>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5" w:name="_Toc190639"/>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190640"/>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190641"/>
      <w:r w:rsidRPr="002B1B30">
        <w:rPr>
          <w:rFonts w:cs="Arial"/>
          <w:b/>
          <w:sz w:val="28"/>
          <w:szCs w:val="28"/>
        </w:rPr>
        <w:t>LEGIONELLA</w:t>
      </w:r>
      <w:bookmarkEnd w:id="27"/>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190643"/>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190644"/>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190645"/>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2" w:name="_Toc190646"/>
      <w:r w:rsidRPr="002B1B30">
        <w:rPr>
          <w:rFonts w:cs="Arial"/>
          <w:b/>
          <w:sz w:val="28"/>
          <w:szCs w:val="28"/>
        </w:rPr>
        <w:t>ENDING THE TENANCY</w:t>
      </w:r>
      <w:bookmarkEnd w:id="32"/>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family member intends to live in the Let Property </w:t>
      </w:r>
    </w:p>
    <w:p w14:paraId="14B9C3D4"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 relevant criminal conviction </w:t>
      </w:r>
    </w:p>
    <w:p w14:paraId="359A61ED"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engaged in relevant antisocial behaviour </w:t>
      </w:r>
    </w:p>
    <w:p w14:paraId="7EAB86A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1558BDE9"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77777777" w:rsidR="00A95E1B" w:rsidRPr="00110512"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462E21C0" w14:textId="77777777" w:rsidR="00A95E1B" w:rsidRPr="00110512" w:rsidRDefault="00A95E1B" w:rsidP="00A95E1B">
      <w:pPr>
        <w:numPr>
          <w:ilvl w:val="0"/>
          <w:numId w:val="50"/>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3" w:name="_Toc190647"/>
      <w:r w:rsidRPr="001F5511">
        <w:rPr>
          <w:rFonts w:cs="Arial"/>
          <w:sz w:val="28"/>
          <w:szCs w:val="28"/>
        </w:rPr>
        <w:t>CONTENTS AND CONDITION</w:t>
      </w:r>
      <w:bookmarkEnd w:id="33"/>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lastRenderedPageBreak/>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4" w:name="_Toc190648"/>
      <w:r w:rsidRPr="001F5511">
        <w:rPr>
          <w:rFonts w:cs="Arial"/>
          <w:sz w:val="28"/>
          <w:szCs w:val="28"/>
        </w:rPr>
        <w:t>LOCAL AUTHORITY TAXES/CHARGES</w:t>
      </w:r>
      <w:bookmarkEnd w:id="34"/>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5" w:name="_Toc190649"/>
      <w:r w:rsidRPr="001F5511">
        <w:rPr>
          <w:rFonts w:cs="Arial"/>
          <w:sz w:val="28"/>
          <w:szCs w:val="28"/>
        </w:rPr>
        <w:t>UTILITIES</w:t>
      </w:r>
      <w:bookmarkEnd w:id="35"/>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6" w:name="_Toc190650"/>
      <w:r w:rsidRPr="001F5511">
        <w:rPr>
          <w:rFonts w:cs="Arial"/>
          <w:sz w:val="28"/>
          <w:szCs w:val="28"/>
        </w:rPr>
        <w:t>ALTERATIONS</w:t>
      </w:r>
      <w:bookmarkEnd w:id="36"/>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7" w:name="_Toc190651"/>
      <w:r w:rsidRPr="001F5511">
        <w:rPr>
          <w:rFonts w:cs="Arial"/>
          <w:sz w:val="28"/>
          <w:szCs w:val="28"/>
        </w:rPr>
        <w:t>COMMON PARTS</w:t>
      </w:r>
      <w:bookmarkEnd w:id="37"/>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8" w:name="_Toc190652"/>
      <w:r w:rsidRPr="001F5511">
        <w:rPr>
          <w:rFonts w:cs="Arial"/>
          <w:sz w:val="28"/>
          <w:szCs w:val="28"/>
        </w:rPr>
        <w:t>PRIVATE GARDEN</w:t>
      </w:r>
      <w:bookmarkEnd w:id="38"/>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9" w:name="_Toc190653"/>
      <w:r w:rsidRPr="001F5511">
        <w:rPr>
          <w:rFonts w:cs="Arial"/>
          <w:sz w:val="28"/>
          <w:szCs w:val="28"/>
        </w:rPr>
        <w:t>ROOF</w:t>
      </w:r>
      <w:bookmarkEnd w:id="39"/>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40" w:name="_Toc190654"/>
      <w:r w:rsidRPr="001F5511">
        <w:rPr>
          <w:rFonts w:cs="Arial"/>
          <w:sz w:val="28"/>
          <w:szCs w:val="28"/>
        </w:rPr>
        <w:t>BINS AND RECYCLIN</w:t>
      </w:r>
      <w:r w:rsidR="00215101" w:rsidRPr="001F5511">
        <w:rPr>
          <w:rFonts w:cs="Arial"/>
          <w:sz w:val="28"/>
          <w:szCs w:val="28"/>
        </w:rPr>
        <w:t>G</w:t>
      </w:r>
      <w:bookmarkEnd w:id="40"/>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1" w:name="_Toc190655"/>
      <w:r w:rsidRPr="00900DBE">
        <w:rPr>
          <w:rFonts w:cs="Arial"/>
          <w:sz w:val="28"/>
          <w:szCs w:val="28"/>
        </w:rPr>
        <w:t>STORAGE</w:t>
      </w:r>
      <w:bookmarkEnd w:id="41"/>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2" w:name="_Toc190656"/>
      <w:r w:rsidRPr="00900DBE">
        <w:rPr>
          <w:rFonts w:cs="Arial"/>
          <w:sz w:val="28"/>
          <w:szCs w:val="28"/>
        </w:rPr>
        <w:t>DANGEROUS SUBSTANCES</w:t>
      </w:r>
      <w:r w:rsidR="00E06ADC" w:rsidRPr="00900DBE">
        <w:rPr>
          <w:rFonts w:cs="Arial"/>
          <w:sz w:val="28"/>
          <w:szCs w:val="28"/>
        </w:rPr>
        <w:t xml:space="preserve"> including liquid petroleum gas</w:t>
      </w:r>
      <w:bookmarkEnd w:id="42"/>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3" w:name="_Toc190657"/>
      <w:r w:rsidRPr="00900DBE">
        <w:rPr>
          <w:rFonts w:cs="Arial"/>
          <w:sz w:val="28"/>
          <w:szCs w:val="28"/>
        </w:rPr>
        <w:t>PETS</w:t>
      </w:r>
      <w:bookmarkEnd w:id="43"/>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4" w:name="_Toc190658"/>
      <w:r w:rsidRPr="00900DBE">
        <w:rPr>
          <w:rFonts w:cs="Arial"/>
          <w:sz w:val="28"/>
          <w:szCs w:val="28"/>
        </w:rPr>
        <w:t>SMOKING</w:t>
      </w:r>
      <w:bookmarkEnd w:id="44"/>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5" w:name="_Toc190659"/>
      <w:r w:rsidRPr="00900DBE">
        <w:rPr>
          <w:rFonts w:cs="Arial"/>
          <w:sz w:val="28"/>
          <w:szCs w:val="28"/>
        </w:rPr>
        <w:t>ADDITIONAL TENANCY TERMS</w:t>
      </w:r>
      <w:bookmarkEnd w:id="45"/>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6" w:name="_Toc190660"/>
      <w:r w:rsidRPr="00900DBE">
        <w:rPr>
          <w:rFonts w:cs="Arial"/>
          <w:sz w:val="28"/>
          <w:szCs w:val="28"/>
        </w:rPr>
        <w:t>THE GUARANTOR</w:t>
      </w:r>
      <w:bookmarkEnd w:id="46"/>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7" w:name="_Toc190661"/>
      <w:r w:rsidRPr="00900DBE">
        <w:rPr>
          <w:rFonts w:cs="Arial"/>
          <w:sz w:val="28"/>
          <w:szCs w:val="28"/>
        </w:rPr>
        <w:t>DECLARATIONS</w:t>
      </w:r>
      <w:bookmarkEnd w:id="47"/>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48" w:name="_Toc495589975"/>
      <w:bookmarkStart w:id="49"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8"/>
      <w:bookmarkEnd w:id="49"/>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77777777" w:rsidR="003F1898" w:rsidRPr="009828E4" w:rsidRDefault="003F1898" w:rsidP="003F1898">
            <w:pPr>
              <w:rPr>
                <w:rFonts w:cs="Arial"/>
                <w:b/>
                <w:i/>
                <w:sz w:val="40"/>
                <w:szCs w:val="40"/>
              </w:rPr>
            </w:pPr>
            <w:r w:rsidRPr="009828E4">
              <w:rPr>
                <w:rFonts w:cs="Arial"/>
                <w:b/>
                <w:i/>
                <w:sz w:val="40"/>
                <w:szCs w:val="40"/>
              </w:rPr>
              <w:t xml:space="preserve">This version of the Agreement is in place for the duration of the emergency COVID-19 procedures (until </w:t>
            </w:r>
            <w:r>
              <w:rPr>
                <w:rFonts w:cs="Arial"/>
                <w:b/>
                <w:i/>
                <w:sz w:val="40"/>
                <w:szCs w:val="40"/>
              </w:rPr>
              <w:t>7</w:t>
            </w:r>
            <w:r w:rsidRPr="009828E4">
              <w:rPr>
                <w:rFonts w:cs="Arial"/>
                <w:b/>
                <w:i/>
                <w:sz w:val="40"/>
                <w:szCs w:val="40"/>
              </w:rPr>
              <w:t xml:space="preserve"> October 2020 unless extended)</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77777777" w:rsidR="003F1898" w:rsidRPr="009828E4" w:rsidRDefault="003F1898" w:rsidP="003F1898">
            <w:pPr>
              <w:pStyle w:val="NoSpacing"/>
              <w:rPr>
                <w:rFonts w:ascii="Arial" w:hAnsi="Arial"/>
                <w:b/>
                <w:bCs/>
              </w:rPr>
            </w:pPr>
            <w:r w:rsidRPr="009828E4">
              <w:rPr>
                <w:rFonts w:ascii="Arial" w:hAnsi="Arial"/>
                <w:b/>
                <w:bCs/>
              </w:rPr>
              <w:t>April 2020</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77777777"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77777777"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t>
      </w:r>
      <w:proofErr w:type="gramStart"/>
      <w:r>
        <w:rPr>
          <w:sz w:val="24"/>
          <w:szCs w:val="24"/>
        </w:rPr>
        <w:t xml:space="preserve">writing </w:t>
      </w:r>
      <w:r w:rsidRPr="00F65875">
        <w:rPr>
          <w:sz w:val="24"/>
          <w:szCs w:val="24"/>
        </w:rPr>
        <w:t xml:space="preserve"> and</w:t>
      </w:r>
      <w:proofErr w:type="gramEnd"/>
      <w:r w:rsidRPr="00F65875">
        <w:rPr>
          <w:sz w:val="24"/>
          <w:szCs w:val="24"/>
        </w:rPr>
        <w:t xml:space="preserve">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3F1898"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5075A734"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 xml:space="preserve">All letting agents are required by law to follow a Letting Agent Code of </w:t>
      </w:r>
      <w:r>
        <w:rPr>
          <w:rFonts w:cs="Arial"/>
          <w:color w:val="333333"/>
          <w:sz w:val="24"/>
          <w:szCs w:val="24"/>
          <w:shd w:val="clear" w:color="auto" w:fill="FFFFFF"/>
        </w:rPr>
        <w:tab/>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67FA3BC"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3CE48B30"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w:t>
      </w:r>
      <w:proofErr w:type="gramStart"/>
      <w:r w:rsidRPr="007A53F3">
        <w:rPr>
          <w:rFonts w:cs="Arial"/>
          <w:color w:val="000000"/>
          <w:sz w:val="24"/>
          <w:szCs w:val="24"/>
        </w:rPr>
        <w:t>their  deposit</w:t>
      </w:r>
      <w:proofErr w:type="gramEnd"/>
      <w:r w:rsidRPr="007A53F3">
        <w:rPr>
          <w:rFonts w:cs="Arial"/>
          <w:color w:val="000000"/>
          <w:sz w:val="24"/>
          <w:szCs w:val="24"/>
        </w:rPr>
        <w:t xml:space="preserve">,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2EF4FF00"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79FECF51" w14:textId="336365DC" w:rsidR="00ED66E9" w:rsidRDefault="003F1898"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0" w:name="_Ref487097927"/>
      <w:r w:rsidRPr="00865934">
        <w:rPr>
          <w:rFonts w:cs="Arial"/>
          <w:b/>
        </w:rPr>
        <w:t>Reasonable Care</w:t>
      </w:r>
      <w:bookmarkEnd w:id="50"/>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865934"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2B1B30" w:rsidRDefault="00097BB2" w:rsidP="00865934">
      <w:pPr>
        <w:pStyle w:val="Heading5"/>
        <w:ind w:left="1560" w:hanging="851"/>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865934">
      <w:pPr>
        <w:pStyle w:val="Heading5"/>
        <w:ind w:left="1560" w:hanging="851"/>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865934">
      <w:pPr>
        <w:pStyle w:val="Heading5"/>
        <w:ind w:left="1560" w:hanging="851"/>
        <w:rPr>
          <w:rFonts w:cs="Arial"/>
        </w:rPr>
      </w:pPr>
      <w:bookmarkStart w:id="51" w:name="_Ref487096232"/>
      <w:r w:rsidRPr="002B1B30">
        <w:rPr>
          <w:rFonts w:cs="Arial"/>
        </w:rPr>
        <w:t>Gas Safety</w:t>
      </w:r>
      <w:bookmarkEnd w:id="51"/>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865934">
      <w:pPr>
        <w:pStyle w:val="Heading5"/>
        <w:ind w:left="1560" w:hanging="851"/>
        <w:rPr>
          <w:rFonts w:cs="Arial"/>
        </w:rPr>
      </w:pPr>
      <w:bookmarkStart w:id="52" w:name="_Ref487096251"/>
      <w:r w:rsidRPr="002B1B30">
        <w:rPr>
          <w:rFonts w:cs="Arial"/>
        </w:rPr>
        <w:t>Electrical Safety</w:t>
      </w:r>
      <w:bookmarkEnd w:id="52"/>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2B1B30" w:rsidRDefault="00097BB2" w:rsidP="00865934">
      <w:pPr>
        <w:pStyle w:val="Heading5"/>
        <w:ind w:left="1560" w:hanging="851"/>
        <w:rPr>
          <w:rFonts w:cs="Arial"/>
        </w:rPr>
      </w:pPr>
      <w:r w:rsidRPr="002B1B30">
        <w:rPr>
          <w:rFonts w:cs="Arial"/>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25FA579"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Pr="00135A8B">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865934">
      <w:pPr>
        <w:pStyle w:val="Heading5"/>
        <w:ind w:left="1560" w:hanging="851"/>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865934">
      <w:pPr>
        <w:pStyle w:val="Heading5"/>
        <w:ind w:left="1560" w:hanging="851"/>
        <w:rPr>
          <w:rFonts w:cs="Arial"/>
        </w:rPr>
      </w:pPr>
      <w:bookmarkStart w:id="53" w:name="_Ref487096274"/>
      <w:r w:rsidRPr="002B1B30">
        <w:rPr>
          <w:rFonts w:cs="Arial"/>
        </w:rPr>
        <w:t>Energy Performance Certificate</w:t>
      </w:r>
      <w:bookmarkEnd w:id="53"/>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865934">
      <w:pPr>
        <w:pStyle w:val="Heading5"/>
        <w:ind w:left="1560" w:hanging="851"/>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865934">
      <w:pPr>
        <w:pStyle w:val="Heading5"/>
        <w:ind w:left="1560" w:hanging="851"/>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865934">
      <w:pPr>
        <w:pStyle w:val="Heading5"/>
        <w:ind w:left="1560" w:hanging="851"/>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865934">
      <w:pPr>
        <w:pStyle w:val="Heading5"/>
        <w:ind w:left="1560" w:hanging="851"/>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865934">
      <w:pPr>
        <w:pStyle w:val="Heading5"/>
        <w:ind w:left="1560" w:hanging="851"/>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4637D0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77777777"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7777777"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 xml:space="preserve">If the tenant gives the notice to the landlord by </w:t>
      </w:r>
      <w:proofErr w:type="gramStart"/>
      <w:r w:rsidRPr="00135A8B">
        <w:rPr>
          <w:rFonts w:cs="Arial"/>
          <w:sz w:val="24"/>
          <w:szCs w:val="24"/>
        </w:rPr>
        <w:t>hand  (</w:t>
      </w:r>
      <w:proofErr w:type="gramEnd"/>
      <w:r w:rsidRPr="00135A8B">
        <w:rPr>
          <w:rFonts w:cs="Arial"/>
          <w:sz w:val="24"/>
          <w:szCs w:val="24"/>
        </w:rPr>
        <w:t>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6C8E2134" w14:textId="77777777"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77777777" w:rsidR="00697978" w:rsidRPr="00110512" w:rsidRDefault="00697978" w:rsidP="00697978">
      <w:pPr>
        <w:pStyle w:val="BodyText1"/>
        <w:numPr>
          <w:ilvl w:val="0"/>
          <w:numId w:val="29"/>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222C114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0F9FDAE4"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09DCB1F9" w14:textId="77777777" w:rsidR="00697978" w:rsidRPr="00110512" w:rsidRDefault="00697978" w:rsidP="00697978">
      <w:pPr>
        <w:pStyle w:val="BodyText1"/>
        <w:numPr>
          <w:ilvl w:val="0"/>
          <w:numId w:val="53"/>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26542064" w14:textId="77777777" w:rsidR="00697978" w:rsidRDefault="00697978" w:rsidP="00697978">
      <w:pPr>
        <w:pStyle w:val="BodyText"/>
        <w:ind w:left="709"/>
        <w:jc w:val="left"/>
        <w:rPr>
          <w:b/>
          <w:sz w:val="24"/>
          <w:szCs w:val="24"/>
        </w:rPr>
      </w:pPr>
      <w:bookmarkStart w:id="54" w:name="_Ref487018414"/>
    </w:p>
    <w:p w14:paraId="046B745F" w14:textId="77777777" w:rsidR="00697978" w:rsidRPr="00F65875" w:rsidRDefault="00697978" w:rsidP="00697978">
      <w:pPr>
        <w:pStyle w:val="BodyText"/>
        <w:ind w:left="709"/>
        <w:jc w:val="left"/>
        <w:rPr>
          <w:b/>
          <w:sz w:val="24"/>
          <w:szCs w:val="24"/>
        </w:rPr>
      </w:pPr>
      <w:r w:rsidRPr="00F65875">
        <w:rPr>
          <w:b/>
          <w:sz w:val="24"/>
          <w:szCs w:val="24"/>
        </w:rPr>
        <w:lastRenderedPageBreak/>
        <w:t>Unlawful Eviction</w:t>
      </w:r>
      <w:bookmarkEnd w:id="54"/>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3F1898"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3F1898"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3F1898"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3F1898"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3F1898"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3F1898"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3F1898"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3F1898"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3F1898"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3F1898"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3F1898"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3F1898"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3F1898"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3F1898"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3F1898"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3F1898"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3F1898" w:rsidP="00097BB2">
      <w:pPr>
        <w:autoSpaceDE w:val="0"/>
        <w:autoSpaceDN w:val="0"/>
        <w:adjustRightInd w:val="0"/>
        <w:rPr>
          <w:rFonts w:cs="Arial"/>
          <w:color w:val="0000FF"/>
          <w:sz w:val="24"/>
          <w:szCs w:val="24"/>
        </w:rPr>
      </w:pPr>
      <w:hyperlink r:id="rId50"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3F1898" w:rsidP="00097BB2">
      <w:pPr>
        <w:pStyle w:val="BodyText"/>
        <w:jc w:val="left"/>
        <w:rPr>
          <w:rFonts w:cs="Arial"/>
          <w:color w:val="auto"/>
          <w:sz w:val="24"/>
          <w:szCs w:val="24"/>
        </w:rPr>
      </w:pPr>
      <w:hyperlink r:id="rId51"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3F1898"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3F1898" w:rsidP="00097BB2">
      <w:pPr>
        <w:pStyle w:val="BodyText"/>
        <w:jc w:val="left"/>
        <w:rPr>
          <w:rFonts w:cs="Arial"/>
          <w:color w:val="auto"/>
          <w:sz w:val="24"/>
          <w:szCs w:val="24"/>
        </w:rPr>
      </w:pPr>
      <w:hyperlink r:id="rId53"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3F1898" w:rsidP="00097BB2">
      <w:pPr>
        <w:pStyle w:val="BodyText"/>
        <w:jc w:val="left"/>
        <w:rPr>
          <w:rFonts w:cs="Arial"/>
          <w:color w:val="auto"/>
          <w:sz w:val="24"/>
          <w:szCs w:val="24"/>
        </w:rPr>
      </w:pPr>
      <w:hyperlink r:id="rId54"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3F1898"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3F1898" w:rsidP="00097BB2">
      <w:pPr>
        <w:pStyle w:val="BodyText"/>
        <w:jc w:val="left"/>
        <w:rPr>
          <w:rFonts w:cs="Arial"/>
          <w:color w:val="auto"/>
          <w:sz w:val="24"/>
          <w:szCs w:val="24"/>
        </w:rPr>
      </w:pPr>
      <w:hyperlink r:id="rId56"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3F1898" w:rsidP="00097BB2">
      <w:pPr>
        <w:pStyle w:val="BodyText"/>
        <w:jc w:val="left"/>
        <w:rPr>
          <w:rFonts w:cs="Arial"/>
          <w:color w:val="auto"/>
          <w:sz w:val="24"/>
          <w:szCs w:val="24"/>
        </w:rPr>
      </w:pPr>
      <w:hyperlink r:id="rId57"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3F1898" w:rsidP="00097BB2">
      <w:pPr>
        <w:pStyle w:val="BodyText"/>
        <w:jc w:val="left"/>
        <w:rPr>
          <w:rFonts w:cs="Arial"/>
          <w:color w:val="auto"/>
          <w:sz w:val="24"/>
          <w:szCs w:val="24"/>
        </w:rPr>
      </w:pPr>
      <w:hyperlink r:id="rId58"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3F1898" w:rsidP="00097BB2">
      <w:pPr>
        <w:pStyle w:val="BodyText"/>
        <w:jc w:val="left"/>
        <w:rPr>
          <w:rFonts w:cs="Arial"/>
          <w:color w:val="auto"/>
          <w:sz w:val="24"/>
          <w:szCs w:val="24"/>
        </w:rPr>
      </w:pPr>
      <w:hyperlink r:id="rId59"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3F1898" w:rsidP="00097BB2">
      <w:pPr>
        <w:pStyle w:val="BodyText"/>
        <w:jc w:val="left"/>
        <w:rPr>
          <w:rFonts w:cs="Arial"/>
          <w:color w:val="auto"/>
          <w:sz w:val="24"/>
          <w:szCs w:val="24"/>
        </w:rPr>
      </w:pPr>
      <w:hyperlink r:id="rId60"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3F1898"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3F1898"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3F1898"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3F1898"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3F1898"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3F1898" w:rsidP="00097BB2">
      <w:pPr>
        <w:pStyle w:val="BodyText"/>
        <w:ind w:left="567"/>
        <w:jc w:val="left"/>
        <w:rPr>
          <w:rFonts w:cs="Arial"/>
          <w:sz w:val="24"/>
          <w:szCs w:val="24"/>
        </w:rPr>
      </w:pPr>
      <w:hyperlink r:id="rId66"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3F1898" w:rsidP="00097BB2">
      <w:pPr>
        <w:pStyle w:val="BodyText"/>
        <w:ind w:left="567"/>
        <w:jc w:val="left"/>
        <w:rPr>
          <w:rStyle w:val="Hyperlink"/>
          <w:rFonts w:cs="Arial"/>
          <w:color w:val="000000"/>
          <w:sz w:val="24"/>
          <w:szCs w:val="24"/>
        </w:rPr>
      </w:pPr>
      <w:hyperlink r:id="rId67"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3F1898" w:rsidP="00D279BF">
      <w:pPr>
        <w:pStyle w:val="BodyText"/>
        <w:jc w:val="left"/>
        <w:rPr>
          <w:rFonts w:cs="Arial"/>
          <w:color w:val="auto"/>
          <w:sz w:val="24"/>
          <w:szCs w:val="24"/>
        </w:rPr>
      </w:pPr>
      <w:hyperlink r:id="rId68"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9"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AA56C" w14:textId="77777777" w:rsidR="002329F3" w:rsidRDefault="002329F3">
      <w:r>
        <w:separator/>
      </w:r>
    </w:p>
  </w:endnote>
  <w:endnote w:type="continuationSeparator" w:id="0">
    <w:p w14:paraId="43B084CB" w14:textId="77777777" w:rsidR="002329F3" w:rsidRDefault="0023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3F1898" w:rsidRPr="00481B86" w:rsidRDefault="003F1898" w:rsidP="00CE0C3B">
    <w:pPr>
      <w:pStyle w:val="Footer"/>
      <w:rPr>
        <w:u w:val="single"/>
      </w:rPr>
    </w:pPr>
    <w:proofErr w:type="gramStart"/>
    <w:r>
      <w:rPr>
        <w:u w:val="single"/>
      </w:rPr>
      <w:t>Key:-</w:t>
    </w:r>
    <w:proofErr w:type="gramEnd"/>
  </w:p>
  <w:p w14:paraId="72793673" w14:textId="77777777" w:rsidR="003F1898" w:rsidRDefault="003F1898" w:rsidP="00CE0C3B">
    <w:pPr>
      <w:pStyle w:val="Footer"/>
    </w:pPr>
    <w:r w:rsidRPr="00DA6622">
      <w:rPr>
        <w:b/>
      </w:rPr>
      <w:t>Bold Text</w:t>
    </w:r>
    <w:r>
      <w:rPr>
        <w:b/>
      </w:rPr>
      <w:t xml:space="preserve">: </w:t>
    </w:r>
    <w:r>
      <w:t xml:space="preserve">Mandatory clauses - core rights and obligations </w:t>
    </w:r>
  </w:p>
  <w:p w14:paraId="2F2AE166" w14:textId="77777777" w:rsidR="003F1898" w:rsidRDefault="003F1898"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3F1898" w:rsidRDefault="003F1898">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3F1898" w:rsidRDefault="003F1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3F1898" w:rsidRPr="00EE1575" w:rsidRDefault="003F1898" w:rsidP="00AD57E9">
    <w:pPr>
      <w:pStyle w:val="Footer"/>
      <w:rPr>
        <w:u w:val="single"/>
      </w:rPr>
    </w:pPr>
    <w:proofErr w:type="gramStart"/>
    <w:r w:rsidRPr="00EE1575">
      <w:rPr>
        <w:u w:val="single"/>
      </w:rPr>
      <w:t>Key:-</w:t>
    </w:r>
    <w:proofErr w:type="gramEnd"/>
  </w:p>
  <w:p w14:paraId="055816DE" w14:textId="77777777" w:rsidR="003F1898" w:rsidRPr="00EE1575" w:rsidRDefault="003F1898" w:rsidP="00AD57E9">
    <w:pPr>
      <w:pStyle w:val="Footer"/>
    </w:pPr>
    <w:r w:rsidRPr="00EE1575">
      <w:rPr>
        <w:b/>
      </w:rPr>
      <w:t xml:space="preserve">Bold Text: </w:t>
    </w:r>
    <w:r w:rsidRPr="00EE1575">
      <w:t xml:space="preserve">Mandatory clauses - core rights and obligations </w:t>
    </w:r>
  </w:p>
  <w:p w14:paraId="1F71E3D8" w14:textId="77777777" w:rsidR="003F1898" w:rsidRPr="00EE1575" w:rsidRDefault="003F18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3F1898" w:rsidRDefault="003F1898">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3F1898" w:rsidRDefault="003F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18BC2" w14:textId="77777777" w:rsidR="002329F3" w:rsidRDefault="002329F3">
      <w:r>
        <w:separator/>
      </w:r>
    </w:p>
  </w:footnote>
  <w:footnote w:type="continuationSeparator" w:id="0">
    <w:p w14:paraId="7BA6852F" w14:textId="77777777" w:rsidR="002329F3" w:rsidRDefault="002329F3">
      <w:r>
        <w:continuationSeparator/>
      </w:r>
    </w:p>
  </w:footnote>
  <w:footnote w:id="1">
    <w:p w14:paraId="012AF55A" w14:textId="0F76DD54" w:rsidR="003F1898" w:rsidRDefault="003F18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3F1898" w:rsidRDefault="003F18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hybridMultilevel"/>
    <w:tmpl w:val="41C8F0A2"/>
    <w:lvl w:ilvl="0" w:tplc="27B8393C">
      <w:start w:val="1"/>
      <w:numFmt w:val="decimal"/>
      <w:pStyle w:val="Heading4"/>
      <w:lvlText w:val="%1."/>
      <w:lvlJc w:val="left"/>
      <w:pPr>
        <w:ind w:left="3413" w:hanging="360"/>
      </w:pPr>
      <w:rPr>
        <w:b w:val="0"/>
      </w:r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9"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3"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2"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9"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5"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2"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6"/>
  </w:num>
  <w:num w:numId="3">
    <w:abstractNumId w:val="10"/>
  </w:num>
  <w:num w:numId="4">
    <w:abstractNumId w:val="50"/>
  </w:num>
  <w:num w:numId="5">
    <w:abstractNumId w:val="40"/>
  </w:num>
  <w:num w:numId="6">
    <w:abstractNumId w:val="8"/>
  </w:num>
  <w:num w:numId="7">
    <w:abstractNumId w:val="32"/>
  </w:num>
  <w:num w:numId="8">
    <w:abstractNumId w:val="38"/>
    <w:lvlOverride w:ilvl="0">
      <w:startOverride w:val="1"/>
    </w:lvlOverride>
  </w:num>
  <w:num w:numId="9">
    <w:abstractNumId w:val="23"/>
  </w:num>
  <w:num w:numId="10">
    <w:abstractNumId w:val="15"/>
  </w:num>
  <w:num w:numId="11">
    <w:abstractNumId w:val="27"/>
  </w:num>
  <w:num w:numId="12">
    <w:abstractNumId w:val="19"/>
  </w:num>
  <w:num w:numId="13">
    <w:abstractNumId w:val="7"/>
  </w:num>
  <w:num w:numId="14">
    <w:abstractNumId w:val="46"/>
  </w:num>
  <w:num w:numId="15">
    <w:abstractNumId w:val="45"/>
  </w:num>
  <w:num w:numId="16">
    <w:abstractNumId w:val="11"/>
  </w:num>
  <w:num w:numId="17">
    <w:abstractNumId w:val="34"/>
  </w:num>
  <w:num w:numId="18">
    <w:abstractNumId w:val="41"/>
  </w:num>
  <w:num w:numId="19">
    <w:abstractNumId w:val="17"/>
  </w:num>
  <w:num w:numId="20">
    <w:abstractNumId w:val="30"/>
  </w:num>
  <w:num w:numId="21">
    <w:abstractNumId w:val="16"/>
  </w:num>
  <w:num w:numId="22">
    <w:abstractNumId w:val="25"/>
  </w:num>
  <w:num w:numId="23">
    <w:abstractNumId w:val="43"/>
  </w:num>
  <w:num w:numId="24">
    <w:abstractNumId w:val="4"/>
  </w:num>
  <w:num w:numId="25">
    <w:abstractNumId w:val="51"/>
  </w:num>
  <w:num w:numId="26">
    <w:abstractNumId w:val="47"/>
  </w:num>
  <w:num w:numId="27">
    <w:abstractNumId w:val="42"/>
  </w:num>
  <w:num w:numId="28">
    <w:abstractNumId w:val="22"/>
  </w:num>
  <w:num w:numId="29">
    <w:abstractNumId w:val="36"/>
  </w:num>
  <w:num w:numId="30">
    <w:abstractNumId w:val="49"/>
  </w:num>
  <w:num w:numId="31">
    <w:abstractNumId w:val="31"/>
  </w:num>
  <w:num w:numId="32">
    <w:abstractNumId w:val="44"/>
  </w:num>
  <w:num w:numId="33">
    <w:abstractNumId w:val="33"/>
  </w:num>
  <w:num w:numId="34">
    <w:abstractNumId w:val="21"/>
  </w:num>
  <w:num w:numId="35">
    <w:abstractNumId w:val="14"/>
  </w:num>
  <w:num w:numId="36">
    <w:abstractNumId w:val="26"/>
  </w:num>
  <w:num w:numId="37">
    <w:abstractNumId w:val="12"/>
  </w:num>
  <w:num w:numId="38">
    <w:abstractNumId w:val="29"/>
  </w:num>
  <w:num w:numId="39">
    <w:abstractNumId w:val="28"/>
  </w:num>
  <w:num w:numId="40">
    <w:abstractNumId w:val="5"/>
  </w:num>
  <w:num w:numId="41">
    <w:abstractNumId w:val="0"/>
  </w:num>
  <w:num w:numId="42">
    <w:abstractNumId w:val="3"/>
  </w:num>
  <w:num w:numId="43">
    <w:abstractNumId w:val="1"/>
  </w:num>
  <w:num w:numId="44">
    <w:abstractNumId w:val="48"/>
  </w:num>
  <w:num w:numId="45">
    <w:abstractNumId w:val="52"/>
  </w:num>
  <w:num w:numId="46">
    <w:abstractNumId w:val="39"/>
  </w:num>
  <w:num w:numId="47">
    <w:abstractNumId w:val="18"/>
  </w:num>
  <w:num w:numId="48">
    <w:abstractNumId w:val="9"/>
  </w:num>
  <w:num w:numId="49">
    <w:abstractNumId w:val="35"/>
  </w:num>
  <w:num w:numId="50">
    <w:abstractNumId w:val="13"/>
  </w:num>
  <w:num w:numId="51">
    <w:abstractNumId w:val="37"/>
  </w:num>
  <w:num w:numId="52">
    <w:abstractNumId w:val="24"/>
  </w:num>
  <w:num w:numId="53">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dsi/2017/9780111036648/contents" TargetMode="External"/><Relationship Id="rId68" Type="http://schemas.openxmlformats.org/officeDocument/2006/relationships/hyperlink" Target="http://www.legislation.gov.uk/ukpga/2018/12/contents/enacted"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4/8/contents" TargetMode="External"/><Relationship Id="rId58" Type="http://schemas.openxmlformats.org/officeDocument/2006/relationships/hyperlink" Target="http://www.legislation.gov.uk/ssi/2011/176/contents/made" TargetMode="External"/><Relationship Id="rId66" Type="http://schemas.openxmlformats.org/officeDocument/2006/relationships/hyperlink" Target="http://www.legislation.gov.uk/ssi/2017/295/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31/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0/10/section/26" TargetMode="External"/><Relationship Id="rId64" Type="http://schemas.openxmlformats.org/officeDocument/2006/relationships/hyperlink" Target="http://www.legislation.gov.uk/ssi/2017/297/contents/made" TargetMode="External"/><Relationship Id="rId69" Type="http://schemas.openxmlformats.org/officeDocument/2006/relationships/hyperlink" Target="https://protect-eu.mimecast.com/s/19JaBfkeb3Tb" TargetMode="External"/><Relationship Id="rId8" Type="http://schemas.openxmlformats.org/officeDocument/2006/relationships/endnotes" Target="endnotes.xml"/><Relationship Id="rId51" Type="http://schemas.openxmlformats.org/officeDocument/2006/relationships/hyperlink" Target="http://www.legislation.gov.uk/ukpga/1984/5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4/14/contents/enacted" TargetMode="External"/><Relationship Id="rId67" Type="http://schemas.openxmlformats.org/officeDocument/2006/relationships/hyperlink" Target="http://www.legislation.gov.uk/ssi/2017/293/contents/made"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asp/2006/1/contents" TargetMode="External"/><Relationship Id="rId62" Type="http://schemas.openxmlformats.org/officeDocument/2006/relationships/hyperlink" Target="http://www.legislation.gov.uk/sdsi/2017/9780111036655/content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landlords.org.uk" TargetMode="External"/><Relationship Id="rId57" Type="http://schemas.openxmlformats.org/officeDocument/2006/relationships/hyperlink" Target="http://www.legislation.gov.uk/asp/2011/14/contents"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ukpga/1987/26/contents" TargetMode="External"/><Relationship Id="rId60" Type="http://schemas.openxmlformats.org/officeDocument/2006/relationships/hyperlink" Target="http://www.legislation.gov.uk/asp/2016/19/contents" TargetMode="External"/><Relationship Id="rId65" Type="http://schemas.openxmlformats.org/officeDocument/2006/relationships/hyperlink" Target="http://www.legislation.gov.uk/ssi/2017/296/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arla.co.uk" TargetMode="External"/><Relationship Id="rId55" Type="http://schemas.openxmlformats.org/officeDocument/2006/relationships/hyperlink" Target="http://www.legislation.gov.uk/ukpga/2010/15/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7DF84-8A07-8843-B305-DC1DAA7E7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20861</Words>
  <Characters>118910</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139493</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2020-04-07T09:08:00Z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