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D47EEB">
      <w:pPr>
        <w:numPr>
          <w:ilvl w:val="0"/>
          <w:numId w:val="45"/>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bookmarkStart w:id="0" w:name="_GoBack"/>
      <w:bookmarkEnd w:id="0"/>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77777777" w:rsidR="00EF3E04" w:rsidRPr="009425DA" w:rsidRDefault="00EF3E04" w:rsidP="00D47EEB">
      <w:pPr>
        <w:numPr>
          <w:ilvl w:val="0"/>
          <w:numId w:val="46"/>
        </w:numPr>
        <w:contextualSpacing/>
        <w:rPr>
          <w:b/>
          <w:sz w:val="24"/>
        </w:rPr>
      </w:pPr>
      <w:r w:rsidRPr="009425DA">
        <w:rPr>
          <w:sz w:val="24"/>
        </w:rPr>
        <w:t xml:space="preserve">Your landlord can only increase your rent once in a 12-month </w:t>
      </w:r>
      <w:proofErr w:type="gramStart"/>
      <w:r w:rsidRPr="009425DA">
        <w:rPr>
          <w:sz w:val="24"/>
        </w:rPr>
        <w:t>period, and</w:t>
      </w:r>
      <w:proofErr w:type="gramEnd"/>
      <w:r w:rsidRPr="009425DA">
        <w:rPr>
          <w:sz w:val="24"/>
        </w:rPr>
        <w:t xml:space="preserve"> must give you at least three months’ notice that they are going to do this.  </w:t>
      </w:r>
      <w:r w:rsidRPr="009425DA">
        <w:rPr>
          <w:b/>
          <w:sz w:val="24"/>
        </w:rPr>
        <w:t xml:space="preserve">If you think an increase is unreasonable, you can ask a rent officer from Rent Service Scotland to </w:t>
      </w:r>
      <w:proofErr w:type="gramStart"/>
      <w:r w:rsidRPr="009425DA">
        <w:rPr>
          <w:b/>
          <w:sz w:val="24"/>
        </w:rPr>
        <w:t>make a decision</w:t>
      </w:r>
      <w:proofErr w:type="gramEnd"/>
      <w:r w:rsidRPr="009425DA">
        <w:rPr>
          <w:b/>
          <w:sz w:val="24"/>
        </w:rPr>
        <w:t xml:space="preserve"> on whether it is fair.  </w:t>
      </w:r>
    </w:p>
    <w:p w14:paraId="179744D2" w14:textId="77777777" w:rsidR="00EF3E04" w:rsidRPr="004A146A" w:rsidRDefault="00EF3E04" w:rsidP="00EF3E04">
      <w:pPr>
        <w:ind w:left="360"/>
        <w:contextualSpacing/>
        <w:rPr>
          <w:sz w:val="4"/>
          <w:szCs w:val="4"/>
        </w:rPr>
      </w:pPr>
    </w:p>
    <w:p w14:paraId="2137E084" w14:textId="77777777" w:rsidR="00EF3E04" w:rsidRPr="009425DA" w:rsidRDefault="00EF3E04" w:rsidP="00D47EEB">
      <w:pPr>
        <w:numPr>
          <w:ilvl w:val="0"/>
          <w:numId w:val="46"/>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77777777" w:rsidR="00EF3E04" w:rsidRPr="00A327EA" w:rsidRDefault="00EF3E04" w:rsidP="00D47EEB">
      <w:pPr>
        <w:numPr>
          <w:ilvl w:val="0"/>
          <w:numId w:val="46"/>
        </w:numPr>
        <w:contextualSpacing/>
        <w:rPr>
          <w:sz w:val="24"/>
        </w:rPr>
      </w:pPr>
      <w:r w:rsidRPr="00A327EA">
        <w:rPr>
          <w:rFonts w:eastAsia="Calibri" w:cs="Arial"/>
          <w:sz w:val="24"/>
          <w:szCs w:val="24"/>
        </w:rPr>
        <w:t xml:space="preserve">If you have paid a landlord a deposit, they must pay it into an approved tenancy deposit </w:t>
      </w:r>
      <w:proofErr w:type="gramStart"/>
      <w:r w:rsidRPr="00A327EA">
        <w:rPr>
          <w:rFonts w:eastAsia="Calibri" w:cs="Arial"/>
          <w:sz w:val="24"/>
          <w:szCs w:val="24"/>
        </w:rPr>
        <w:t>scheme, and</w:t>
      </w:r>
      <w:proofErr w:type="gramEnd"/>
      <w:r w:rsidRPr="00A327EA">
        <w:rPr>
          <w:rFonts w:eastAsia="Calibri" w:cs="Arial"/>
          <w:sz w:val="24"/>
          <w:szCs w:val="24"/>
        </w:rPr>
        <w:t xml:space="preserve">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D47EEB">
      <w:pPr>
        <w:numPr>
          <w:ilvl w:val="0"/>
          <w:numId w:val="46"/>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D47EEB">
      <w:pPr>
        <w:numPr>
          <w:ilvl w:val="0"/>
          <w:numId w:val="46"/>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7777777" w:rsidR="00EF3E04" w:rsidRPr="009425DA" w:rsidRDefault="00EF3E04" w:rsidP="00D47EEB">
      <w:pPr>
        <w:numPr>
          <w:ilvl w:val="0"/>
          <w:numId w:val="46"/>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B7A09A6" w14:textId="77777777" w:rsidR="00EF3E04" w:rsidRPr="004A146A" w:rsidRDefault="00EF3E04" w:rsidP="00EF3E04">
      <w:pPr>
        <w:ind w:left="360"/>
        <w:contextualSpacing/>
        <w:rPr>
          <w:sz w:val="4"/>
          <w:szCs w:val="4"/>
        </w:rPr>
      </w:pPr>
    </w:p>
    <w:p w14:paraId="73D107C2" w14:textId="77777777" w:rsidR="00EF3E04" w:rsidRPr="009425DA" w:rsidRDefault="00EF3E04" w:rsidP="00D47EEB">
      <w:pPr>
        <w:numPr>
          <w:ilvl w:val="0"/>
          <w:numId w:val="46"/>
        </w:numPr>
        <w:spacing w:after="120"/>
        <w:ind w:left="357" w:hanging="357"/>
        <w:contextualSpacing/>
        <w:rPr>
          <w:sz w:val="24"/>
        </w:rPr>
      </w:pPr>
      <w:r w:rsidRPr="009425DA">
        <w:rPr>
          <w:sz w:val="24"/>
        </w:rPr>
        <w:t>If your landlord asks you to leave, they must give you:</w:t>
      </w:r>
    </w:p>
    <w:p w14:paraId="3523913E" w14:textId="77777777" w:rsidR="00EF3E04" w:rsidRPr="004A146A" w:rsidRDefault="00EF3E04" w:rsidP="00EF3E04">
      <w:pPr>
        <w:ind w:left="720"/>
        <w:contextualSpacing/>
        <w:rPr>
          <w:sz w:val="4"/>
          <w:szCs w:val="4"/>
        </w:rPr>
      </w:pPr>
    </w:p>
    <w:p w14:paraId="3087C36D" w14:textId="77777777" w:rsidR="00EF3E04" w:rsidRPr="009425DA" w:rsidRDefault="00EF3E04" w:rsidP="00D47EEB">
      <w:pPr>
        <w:numPr>
          <w:ilvl w:val="0"/>
          <w:numId w:val="47"/>
        </w:numPr>
        <w:contextualSpacing/>
        <w:rPr>
          <w:sz w:val="24"/>
        </w:rPr>
      </w:pPr>
      <w:r w:rsidRPr="009425DA">
        <w:rPr>
          <w:b/>
          <w:sz w:val="24"/>
        </w:rPr>
        <w:t>28 days’</w:t>
      </w:r>
      <w:r w:rsidRPr="009425DA">
        <w:rPr>
          <w:sz w:val="24"/>
        </w:rPr>
        <w:t xml:space="preserve"> notice (if you have lived in the property for less than six months or the landlord is using one of the six ‘behaviour’ grounds); or</w:t>
      </w:r>
    </w:p>
    <w:p w14:paraId="63610683" w14:textId="77777777" w:rsidR="00EF3E04" w:rsidRPr="009425DA" w:rsidRDefault="00EF3E04" w:rsidP="00D47EEB">
      <w:pPr>
        <w:numPr>
          <w:ilvl w:val="0"/>
          <w:numId w:val="47"/>
        </w:numPr>
        <w:contextualSpacing/>
        <w:rPr>
          <w:sz w:val="24"/>
        </w:rPr>
      </w:pPr>
      <w:r w:rsidRPr="009425DA">
        <w:rPr>
          <w:b/>
          <w:sz w:val="24"/>
        </w:rPr>
        <w:t>84 days’</w:t>
      </w:r>
      <w:r w:rsidRPr="009425DA">
        <w:rPr>
          <w:sz w:val="24"/>
        </w:rPr>
        <w:t xml:space="preserve"> notice (if you have lived in the property for more than six months and the landlord is not using the ‘behaviour’ grounds).</w:t>
      </w:r>
    </w:p>
    <w:p w14:paraId="1C43A83C" w14:textId="77777777" w:rsidR="00EF3E04" w:rsidRPr="004A146A" w:rsidRDefault="00EF3E04" w:rsidP="00EF3E04">
      <w:pPr>
        <w:ind w:left="360"/>
        <w:contextualSpacing/>
        <w:rPr>
          <w:sz w:val="4"/>
          <w:szCs w:val="4"/>
        </w:rPr>
      </w:pPr>
    </w:p>
    <w:p w14:paraId="6A99B4B3" w14:textId="77777777" w:rsidR="00EF3E04" w:rsidRPr="009425DA" w:rsidRDefault="00EF3E04" w:rsidP="00D47EEB">
      <w:pPr>
        <w:numPr>
          <w:ilvl w:val="0"/>
          <w:numId w:val="46"/>
        </w:numPr>
        <w:contextualSpacing/>
        <w:rPr>
          <w:sz w:val="24"/>
        </w:rPr>
      </w:pPr>
      <w:r w:rsidRPr="009425DA">
        <w:rPr>
          <w:sz w:val="24"/>
        </w:rPr>
        <w:t>If you want to leave, you must give your landlord 28 days’ notice in writing.  In your notice you will need to state the day you want the tenancy to end (this is normally the day after the notice period has ended).</w:t>
      </w:r>
    </w:p>
    <w:p w14:paraId="25B62BFE" w14:textId="77777777" w:rsidR="00EF3E04" w:rsidRPr="004A146A" w:rsidRDefault="00EF3E04" w:rsidP="00EF3E04">
      <w:pPr>
        <w:ind w:left="360"/>
        <w:contextualSpacing/>
        <w:rPr>
          <w:sz w:val="4"/>
          <w:szCs w:val="4"/>
        </w:rPr>
      </w:pPr>
    </w:p>
    <w:p w14:paraId="58C27781" w14:textId="77777777" w:rsidR="00EF3E04" w:rsidRPr="00A327EA" w:rsidRDefault="00EF3E04" w:rsidP="00D47EEB">
      <w:pPr>
        <w:numPr>
          <w:ilvl w:val="0"/>
          <w:numId w:val="46"/>
        </w:numPr>
        <w:rPr>
          <w:sz w:val="24"/>
        </w:rPr>
      </w:pPr>
      <w:r w:rsidRPr="00A327EA">
        <w:rPr>
          <w:sz w:val="24"/>
        </w:rPr>
        <w:t xml:space="preserve">If you think that your tenancy was ended unlawfully (for example, the landlord served you with a notice to leave on the grounds that they intended to sell the property, but then they let it to another tenant), you can apply to the First-tier Tribunal for Scotland (Housing and Property Chamber)   The Tribunal can award you up to six months' rent. </w:t>
      </w:r>
    </w:p>
    <w:p w14:paraId="376F6D99" w14:textId="77777777" w:rsidR="00EF3E04" w:rsidRPr="004A146A" w:rsidRDefault="00EF3E04" w:rsidP="00EF3E04"/>
    <w:p w14:paraId="48CC6956" w14:textId="77777777" w:rsidR="00EF3E04" w:rsidRDefault="00EF3E04" w:rsidP="00EF3E04">
      <w:r w:rsidRPr="009425DA">
        <w:rPr>
          <w:sz w:val="24"/>
        </w:rPr>
        <w:lastRenderedPageBreak/>
        <w:t xml:space="preserve">For more information on any of these rights, please see the relevant section of the </w:t>
      </w:r>
      <w:proofErr w:type="gramStart"/>
      <w:r w:rsidRPr="009425DA">
        <w:rPr>
          <w:sz w:val="24"/>
        </w:rPr>
        <w:t>following  tenancy</w:t>
      </w:r>
      <w:proofErr w:type="gramEnd"/>
      <w:r w:rsidRPr="009425DA">
        <w:rPr>
          <w:sz w:val="24"/>
        </w:rPr>
        <w:t xml:space="preserve"> agreement. </w:t>
      </w:r>
    </w:p>
    <w:p w14:paraId="2DE18A5E" w14:textId="77777777" w:rsidR="00EF3E04" w:rsidRDefault="00EF3E04">
      <w:pPr>
        <w:rPr>
          <w:rFonts w:eastAsia="MS Gothic" w:cs="Arial"/>
          <w:b/>
          <w:bCs/>
          <w:color w:val="365F91"/>
          <w:sz w:val="28"/>
          <w:szCs w:val="28"/>
          <w:lang w:val="en-US" w:eastAsia="ja-JP"/>
        </w:rPr>
      </w:pP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C706D4">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C706D4">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C706D4">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C706D4">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C706D4">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C706D4">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C706D4">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C706D4">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C706D4">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C706D4">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C706D4">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C706D4">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C706D4">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C706D4">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C706D4">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C706D4">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C706D4">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C706D4">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C706D4">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C706D4">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C706D4">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C706D4">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C706D4">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C706D4">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C706D4">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C706D4">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C706D4">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C706D4">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C706D4">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C706D4">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C706D4">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C706D4">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C706D4">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C706D4">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C706D4">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C706D4">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C706D4">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C706D4">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C706D4">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C706D4">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C706D4">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C706D4">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C706D4">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C706D4">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C706D4">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1" w:name="_Toc190616"/>
      <w:r w:rsidRPr="002B1B30">
        <w:rPr>
          <w:rFonts w:cs="Arial"/>
          <w:b/>
        </w:rPr>
        <w:lastRenderedPageBreak/>
        <w:t>SECTION 1</w:t>
      </w:r>
      <w:r w:rsidR="0047088F" w:rsidRPr="002B1B30">
        <w:rPr>
          <w:rFonts w:cs="Arial"/>
          <w:b/>
        </w:rPr>
        <w:t xml:space="preserve">: </w:t>
      </w:r>
      <w:bookmarkEnd w:id="1"/>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77777777"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7777777" w:rsidR="0055131A" w:rsidRDefault="0055131A" w:rsidP="0055131A">
      <w:pPr>
        <w:rPr>
          <w:sz w:val="24"/>
          <w:szCs w:val="24"/>
        </w:rPr>
      </w:pPr>
      <w:r>
        <w:rPr>
          <w:sz w:val="24"/>
          <w:szCs w:val="24"/>
        </w:rPr>
        <w:t xml:space="preserve">Some of the mandatory and discretionary clauses contain square brackets [     </w:t>
      </w:r>
      <w:proofErr w:type="gramStart"/>
      <w:r>
        <w:rPr>
          <w:sz w:val="24"/>
          <w:szCs w:val="24"/>
        </w:rPr>
        <w:t xml:space="preserve">  ]</w:t>
      </w:r>
      <w:proofErr w:type="gramEnd"/>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2" w:name="_Ref462311149"/>
      <w:bookmarkStart w:id="3"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2"/>
      <w:r w:rsidR="0025017D" w:rsidRPr="002B1B30">
        <w:rPr>
          <w:rFonts w:cs="Arial"/>
          <w:b/>
        </w:rPr>
        <w:t xml:space="preserve"> &amp; INTERPRETATION</w:t>
      </w:r>
      <w:bookmarkEnd w:id="3"/>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w:t>
      </w:r>
      <w:proofErr w:type="gramStart"/>
      <w:r w:rsidRPr="002B1B30">
        <w:rPr>
          <w:rFonts w:cs="Arial"/>
          <w:sz w:val="24"/>
          <w:szCs w:val="24"/>
        </w:rPr>
        <w:t>taken into account</w:t>
      </w:r>
      <w:proofErr w:type="gramEnd"/>
      <w:r w:rsidRPr="002B1B30">
        <w:rPr>
          <w:rFonts w:cs="Arial"/>
          <w:sz w:val="24"/>
          <w:szCs w:val="24"/>
        </w:rPr>
        <w: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4"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4"/>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5" w:name="_Toc190619"/>
      <w:r w:rsidRPr="002B1B30">
        <w:rPr>
          <w:rFonts w:cs="Arial"/>
          <w:b/>
          <w:sz w:val="28"/>
          <w:szCs w:val="28"/>
        </w:rPr>
        <w:t>TENANT</w:t>
      </w:r>
      <w:bookmarkEnd w:id="5"/>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6" w:name="_Toc190620"/>
      <w:r w:rsidRPr="002B1B30">
        <w:rPr>
          <w:rFonts w:cs="Arial"/>
          <w:b/>
          <w:sz w:val="28"/>
          <w:szCs w:val="28"/>
        </w:rPr>
        <w:t>LETTING AGENT</w:t>
      </w:r>
      <w:bookmarkEnd w:id="6"/>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7" w:name="_Toc190621"/>
      <w:r w:rsidRPr="002B1B30">
        <w:rPr>
          <w:rFonts w:cs="Arial"/>
          <w:b/>
          <w:sz w:val="28"/>
          <w:szCs w:val="28"/>
        </w:rPr>
        <w:t>LANDLORD</w:t>
      </w:r>
      <w:bookmarkEnd w:id="7"/>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8" w:name="_Toc190622"/>
      <w:r w:rsidRPr="002B1B30">
        <w:rPr>
          <w:rFonts w:cs="Arial"/>
          <w:b/>
          <w:sz w:val="28"/>
          <w:szCs w:val="28"/>
        </w:rPr>
        <w:t>COMMUNICATION</w:t>
      </w:r>
      <w:bookmarkEnd w:id="8"/>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9" w:name="_Toc190623"/>
      <w:r w:rsidRPr="002B1B30">
        <w:rPr>
          <w:rFonts w:cs="Arial"/>
          <w:b/>
          <w:sz w:val="28"/>
          <w:szCs w:val="28"/>
        </w:rPr>
        <w:t>DETAILS OF THE LET PROPERTY</w:t>
      </w:r>
      <w:bookmarkEnd w:id="9"/>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10" w:name="_Toc190624"/>
      <w:r w:rsidRPr="002B1B30">
        <w:rPr>
          <w:rFonts w:cs="Arial"/>
          <w:b/>
          <w:sz w:val="28"/>
          <w:szCs w:val="28"/>
        </w:rPr>
        <w:t>START DATE OF THE TENANCY</w:t>
      </w:r>
      <w:bookmarkEnd w:id="10"/>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1" w:name="_Toc190625"/>
      <w:r w:rsidRPr="002B1B30">
        <w:rPr>
          <w:rFonts w:cs="Arial"/>
          <w:b/>
          <w:sz w:val="28"/>
          <w:szCs w:val="28"/>
        </w:rPr>
        <w:t>OCCUPATION AND USE OF THE LET PROPERTY</w:t>
      </w:r>
      <w:bookmarkEnd w:id="11"/>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2" w:name="_Toc190626"/>
      <w:r w:rsidRPr="002B1B30">
        <w:rPr>
          <w:rFonts w:cs="Arial"/>
          <w:b/>
          <w:sz w:val="28"/>
          <w:szCs w:val="28"/>
        </w:rPr>
        <w:t>RENT</w:t>
      </w:r>
      <w:bookmarkEnd w:id="12"/>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3" w:name="_Toc190627"/>
      <w:r w:rsidRPr="002B1B30">
        <w:rPr>
          <w:rFonts w:cs="Arial"/>
          <w:b/>
          <w:sz w:val="28"/>
          <w:szCs w:val="28"/>
        </w:rPr>
        <w:t>RENT RECEIPTS</w:t>
      </w:r>
      <w:bookmarkEnd w:id="13"/>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4" w:name="_Toc190628"/>
      <w:r w:rsidRPr="002B1B30">
        <w:rPr>
          <w:rFonts w:cs="Arial"/>
          <w:b/>
          <w:sz w:val="28"/>
          <w:szCs w:val="28"/>
        </w:rPr>
        <w:t>RENT INCREASES</w:t>
      </w:r>
      <w:bookmarkEnd w:id="14"/>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5" w:name="_Toc190629"/>
      <w:r w:rsidRPr="002B1B30">
        <w:rPr>
          <w:rFonts w:cs="Arial"/>
          <w:b/>
          <w:sz w:val="28"/>
          <w:szCs w:val="28"/>
        </w:rPr>
        <w:t>DEPOSIT</w:t>
      </w:r>
      <w:bookmarkEnd w:id="15"/>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34D80CFD"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when a deposit </w:t>
      </w:r>
      <w:r w:rsidR="0055131A">
        <w:rPr>
          <w:rFonts w:cs="Arial"/>
          <w:b/>
          <w:sz w:val="24"/>
          <w:szCs w:val="24"/>
          <w:lang w:eastAsia="en-GB"/>
        </w:rPr>
        <w:lastRenderedPageBreak/>
        <w:t>is paid in instalments then each instalment must be lodged within 30 working days of that instalment being paid</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w:t>
      </w:r>
      <w:proofErr w:type="gramStart"/>
      <w:r w:rsidR="00D0682C" w:rsidRPr="002B1B30">
        <w:rPr>
          <w:rFonts w:cs="Arial"/>
          <w:b/>
          <w:sz w:val="24"/>
          <w:szCs w:val="24"/>
        </w:rPr>
        <w:t>take action</w:t>
      </w:r>
      <w:proofErr w:type="gramEnd"/>
      <w:r w:rsidR="00D0682C" w:rsidRPr="002B1B30">
        <w:rPr>
          <w:rFonts w:cs="Arial"/>
          <w:b/>
          <w:sz w:val="24"/>
          <w:szCs w:val="24"/>
        </w:rPr>
        <w:t xml:space="preserve">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6" w:name="_Toc190630"/>
      <w:r w:rsidRPr="002B1B30">
        <w:rPr>
          <w:rFonts w:cs="Arial"/>
          <w:b/>
          <w:sz w:val="28"/>
          <w:szCs w:val="28"/>
        </w:rPr>
        <w:t>SUBLETTING AND ASSIGNATION</w:t>
      </w:r>
      <w:bookmarkEnd w:id="16"/>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7" w:name="_Toc190631"/>
      <w:r w:rsidRPr="002B1B30">
        <w:rPr>
          <w:rFonts w:cs="Arial"/>
          <w:b/>
          <w:sz w:val="28"/>
          <w:szCs w:val="28"/>
        </w:rPr>
        <w:t>NOTIFICATION ABOUT OTHER RESIDENTS</w:t>
      </w:r>
      <w:bookmarkEnd w:id="17"/>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8" w:name="_Toc190632"/>
      <w:r w:rsidRPr="002B1B30">
        <w:rPr>
          <w:rFonts w:cs="Arial"/>
          <w:b/>
          <w:sz w:val="28"/>
          <w:szCs w:val="28"/>
        </w:rPr>
        <w:t>OVERCROWDING</w:t>
      </w:r>
      <w:bookmarkEnd w:id="18"/>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 xml:space="preserve">does become overcrowded, the Landlord can </w:t>
      </w:r>
      <w:proofErr w:type="gramStart"/>
      <w:r w:rsidRPr="002B1B30">
        <w:rPr>
          <w:rFonts w:cs="Arial"/>
          <w:b/>
          <w:sz w:val="24"/>
          <w:szCs w:val="24"/>
          <w:lang w:eastAsia="en-GB"/>
        </w:rPr>
        <w:t>take action</w:t>
      </w:r>
      <w:proofErr w:type="gramEnd"/>
      <w:r w:rsidRPr="002B1B30">
        <w:rPr>
          <w:rFonts w:cs="Arial"/>
          <w:b/>
          <w:sz w:val="24"/>
          <w:szCs w:val="24"/>
          <w:lang w:eastAsia="en-GB"/>
        </w:rPr>
        <w:t xml:space="preserve">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9" w:name="_Toc190633"/>
      <w:r w:rsidRPr="002B1B30">
        <w:rPr>
          <w:rFonts w:cs="Arial"/>
          <w:b/>
          <w:sz w:val="28"/>
          <w:szCs w:val="28"/>
        </w:rPr>
        <w:t>INSURANCE</w:t>
      </w:r>
      <w:bookmarkEnd w:id="19"/>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20" w:name="_Toc190634"/>
      <w:r w:rsidRPr="002B1B30">
        <w:rPr>
          <w:rFonts w:cs="Arial"/>
          <w:b/>
          <w:sz w:val="28"/>
          <w:szCs w:val="28"/>
        </w:rPr>
        <w:t>ABSENCES</w:t>
      </w:r>
      <w:bookmarkEnd w:id="20"/>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1" w:name="_Toc190635"/>
      <w:r w:rsidRPr="002B1B30">
        <w:rPr>
          <w:rFonts w:cs="Arial"/>
          <w:b/>
          <w:sz w:val="28"/>
          <w:szCs w:val="28"/>
        </w:rPr>
        <w:t>REASONABLE CARE</w:t>
      </w:r>
      <w:bookmarkEnd w:id="21"/>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2" w:name="_Toc190636"/>
      <w:r w:rsidRPr="002B1B30">
        <w:rPr>
          <w:rFonts w:cs="Arial"/>
          <w:b/>
          <w:sz w:val="28"/>
          <w:szCs w:val="28"/>
        </w:rPr>
        <w:t>THE REPAIRING STANDARD etc. AND OTHER INFORMATION</w:t>
      </w:r>
      <w:bookmarkEnd w:id="22"/>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3" w:name="_Toc190637"/>
      <w:r w:rsidRPr="00FA5034">
        <w:rPr>
          <w:rFonts w:cs="Arial"/>
          <w:b/>
        </w:rPr>
        <w:t>THE REPAIRING STANDARD</w:t>
      </w:r>
      <w:bookmarkEnd w:id="23"/>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w:t>
      </w:r>
      <w:proofErr w:type="spellStart"/>
      <w:r w:rsidR="00C706D4">
        <w:rPr>
          <w:rFonts w:cs="Arial"/>
          <w:b/>
          <w:sz w:val="24"/>
          <w:szCs w:val="24"/>
        </w:rPr>
        <w:t>alarms</w:t>
      </w:r>
      <w:proofErr w:type="spellEnd"/>
      <w:r w:rsidR="00C706D4">
        <w:rPr>
          <w:rFonts w:cs="Arial"/>
          <w:b/>
          <w:sz w:val="24"/>
          <w:szCs w:val="24"/>
        </w:rPr>
        <w:t xml:space="preserve">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4" w:name="_Toc190638"/>
      <w:r w:rsidRPr="002B1B30">
        <w:rPr>
          <w:rFonts w:cs="Arial"/>
          <w:b/>
        </w:rPr>
        <w:lastRenderedPageBreak/>
        <w:t>REPAIR TIMETABLE</w:t>
      </w:r>
      <w:bookmarkEnd w:id="24"/>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5" w:name="_Toc190639"/>
      <w:r w:rsidRPr="002B1B30">
        <w:rPr>
          <w:rFonts w:cs="Arial"/>
          <w:b/>
        </w:rPr>
        <w:t>PAYMENT FOR REPAIRS</w:t>
      </w:r>
      <w:bookmarkEnd w:id="25"/>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6" w:name="_Toc190640"/>
      <w:r w:rsidRPr="002B1B30">
        <w:rPr>
          <w:rFonts w:cs="Arial"/>
          <w:b/>
        </w:rPr>
        <w:t>INFORMATION</w:t>
      </w:r>
      <w:bookmarkEnd w:id="26"/>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7" w:name="_Toc190641"/>
      <w:r w:rsidRPr="002B1B30">
        <w:rPr>
          <w:rFonts w:cs="Arial"/>
          <w:b/>
          <w:sz w:val="28"/>
          <w:szCs w:val="28"/>
        </w:rPr>
        <w:t>LEGIONELLA</w:t>
      </w:r>
      <w:bookmarkEnd w:id="27"/>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8"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8"/>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9" w:name="_Toc190643"/>
      <w:r w:rsidRPr="002B1B30">
        <w:rPr>
          <w:rFonts w:cs="Arial"/>
          <w:b/>
          <w:sz w:val="28"/>
          <w:szCs w:val="28"/>
        </w:rPr>
        <w:t>RESPECT FOR OTHERS</w:t>
      </w:r>
      <w:bookmarkEnd w:id="29"/>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30" w:name="_Toc190644"/>
      <w:r w:rsidRPr="002B1B30">
        <w:rPr>
          <w:rFonts w:cs="Arial"/>
          <w:b/>
          <w:sz w:val="28"/>
          <w:szCs w:val="28"/>
        </w:rPr>
        <w:t>EQUALITY REQUIREMENTS:</w:t>
      </w:r>
      <w:bookmarkEnd w:id="30"/>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1" w:name="_Toc190645"/>
      <w:r w:rsidRPr="002B1B30">
        <w:rPr>
          <w:rFonts w:cs="Arial"/>
          <w:b/>
          <w:sz w:val="28"/>
          <w:szCs w:val="28"/>
        </w:rPr>
        <w:t>DATA PROTECTION</w:t>
      </w:r>
      <w:bookmarkEnd w:id="31"/>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2" w:name="_Toc190646"/>
      <w:r w:rsidRPr="002B1B30">
        <w:rPr>
          <w:rFonts w:cs="Arial"/>
          <w:b/>
          <w:sz w:val="28"/>
          <w:szCs w:val="28"/>
        </w:rPr>
        <w:t>ENDING THE TENANCY</w:t>
      </w:r>
      <w:bookmarkEnd w:id="32"/>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1606BD31" w:rsidR="001B02DC" w:rsidRPr="002B1B30" w:rsidRDefault="001B02DC" w:rsidP="001B02DC">
      <w:pPr>
        <w:rPr>
          <w:rFonts w:cs="Arial"/>
          <w:b/>
          <w:sz w:val="24"/>
          <w:szCs w:val="24"/>
        </w:rPr>
      </w:pPr>
      <w:r w:rsidRPr="002B1B30">
        <w:rPr>
          <w:rFonts w:cs="Arial"/>
          <w:b/>
          <w:sz w:val="24"/>
          <w:szCs w:val="24"/>
        </w:rPr>
        <w:t xml:space="preserve">The Landlord must give the Tenant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5F455415" w:rsidR="001B02DC" w:rsidRPr="002B1B30" w:rsidRDefault="001B02DC" w:rsidP="001B02DC">
      <w:pPr>
        <w:rPr>
          <w:rFonts w:cs="Arial"/>
          <w:b/>
          <w:sz w:val="24"/>
          <w:szCs w:val="24"/>
        </w:rPr>
      </w:pPr>
      <w:r w:rsidRPr="002B1B30">
        <w:rPr>
          <w:rFonts w:cs="Arial"/>
          <w:b/>
          <w:sz w:val="24"/>
          <w:szCs w:val="24"/>
        </w:rPr>
        <w:t xml:space="preserve">The Landlord must give the Tenant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3" w:name="_Ref429649247"/>
      <w:r w:rsidRPr="002B1B30">
        <w:rPr>
          <w:rFonts w:ascii="Arial" w:hAnsi="Arial" w:cs="Arial"/>
          <w:b/>
          <w:szCs w:val="24"/>
        </w:rPr>
        <w:t xml:space="preserve">Schedule 3 sets out the 18 grounds under which a Landlord may seek eviction.  </w:t>
      </w:r>
      <w:bookmarkEnd w:id="33"/>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w:t>
      </w:r>
      <w:proofErr w:type="gramStart"/>
      <w:r w:rsidRPr="002B1B30">
        <w:rPr>
          <w:rFonts w:ascii="Arial" w:hAnsi="Arial" w:cs="Arial"/>
          <w:b/>
          <w:szCs w:val="24"/>
        </w:rPr>
        <w:t>refurbish</w:t>
      </w:r>
      <w:proofErr w:type="gramEnd"/>
      <w:r w:rsidRPr="002B1B30">
        <w:rPr>
          <w:rFonts w:ascii="Arial" w:hAnsi="Arial" w:cs="Arial"/>
          <w:b/>
          <w:szCs w:val="24"/>
        </w:rPr>
        <w:t xml:space="preserve">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w:t>
      </w:r>
      <w:proofErr w:type="spellStart"/>
      <w:r w:rsidRPr="002B1B30">
        <w:rPr>
          <w:rFonts w:ascii="Arial" w:hAnsi="Arial" w:cs="Arial"/>
          <w:b/>
          <w:szCs w:val="24"/>
        </w:rPr>
        <w:t>imprisonable</w:t>
      </w:r>
      <w:proofErr w:type="spellEnd"/>
      <w:r w:rsidRPr="002B1B30">
        <w:rPr>
          <w:rFonts w:ascii="Arial" w:hAnsi="Arial" w:cs="Arial"/>
          <w:b/>
          <w:szCs w:val="24"/>
        </w:rPr>
        <w:t xml:space="preserv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w:t>
      </w:r>
      <w:r w:rsidRPr="002B1B30">
        <w:rPr>
          <w:rFonts w:ascii="Arial" w:hAnsi="Arial" w:cs="Arial"/>
          <w:b/>
          <w:szCs w:val="24"/>
        </w:rPr>
        <w:lastRenderedPageBreak/>
        <w:t xml:space="preserve">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FA5034"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w:t>
      </w:r>
      <w:r w:rsidRPr="00FA5034">
        <w:rPr>
          <w:rFonts w:ascii="Arial" w:hAnsi="Arial" w:cs="Arial"/>
          <w:b/>
          <w:szCs w:val="24"/>
        </w:rPr>
        <w:t xml:space="preserve">cation is made after the </w:t>
      </w:r>
      <w:proofErr w:type="gramStart"/>
      <w:r w:rsidRPr="00FA5034">
        <w:rPr>
          <w:rFonts w:ascii="Arial" w:hAnsi="Arial" w:cs="Arial"/>
          <w:b/>
          <w:szCs w:val="24"/>
        </w:rPr>
        <w:t>12 month</w:t>
      </w:r>
      <w:proofErr w:type="gramEnd"/>
      <w:r w:rsidRPr="00FA5034">
        <w:rPr>
          <w:rFonts w:ascii="Arial" w:hAnsi="Arial" w:cs="Arial"/>
          <w:b/>
          <w:szCs w:val="24"/>
        </w:rPr>
        <w:t xml:space="preserve"> period has elapsed.)</w:t>
      </w: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50" w:name="_Toc190647"/>
      <w:r w:rsidRPr="001F5511">
        <w:rPr>
          <w:rFonts w:cs="Arial"/>
          <w:sz w:val="28"/>
          <w:szCs w:val="28"/>
        </w:rPr>
        <w:t>CONTENTS AND CONDITION</w:t>
      </w:r>
      <w:bookmarkEnd w:id="50"/>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51" w:name="_Toc190648"/>
      <w:r w:rsidRPr="001F5511">
        <w:rPr>
          <w:rFonts w:cs="Arial"/>
          <w:sz w:val="28"/>
          <w:szCs w:val="28"/>
        </w:rPr>
        <w:t>LOCAL AUTHORITY TAXES/CHARGES</w:t>
      </w:r>
      <w:bookmarkEnd w:id="51"/>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52" w:name="_Toc190649"/>
      <w:r w:rsidRPr="001F5511">
        <w:rPr>
          <w:rFonts w:cs="Arial"/>
          <w:sz w:val="28"/>
          <w:szCs w:val="28"/>
        </w:rPr>
        <w:t>UTILITIES</w:t>
      </w:r>
      <w:bookmarkEnd w:id="52"/>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53" w:name="_Toc190650"/>
      <w:r w:rsidRPr="001F5511">
        <w:rPr>
          <w:rFonts w:cs="Arial"/>
          <w:sz w:val="28"/>
          <w:szCs w:val="28"/>
        </w:rPr>
        <w:t>ALTERATIONS</w:t>
      </w:r>
      <w:bookmarkEnd w:id="53"/>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54" w:name="_Toc190651"/>
      <w:r w:rsidRPr="001F5511">
        <w:rPr>
          <w:rFonts w:cs="Arial"/>
          <w:sz w:val="28"/>
          <w:szCs w:val="28"/>
        </w:rPr>
        <w:t>COMMON PARTS</w:t>
      </w:r>
      <w:bookmarkEnd w:id="54"/>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55" w:name="_Toc190652"/>
      <w:r w:rsidRPr="001F5511">
        <w:rPr>
          <w:rFonts w:cs="Arial"/>
          <w:sz w:val="28"/>
          <w:szCs w:val="28"/>
        </w:rPr>
        <w:t>PRIVATE GARDEN</w:t>
      </w:r>
      <w:bookmarkEnd w:id="55"/>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56" w:name="_Toc190653"/>
      <w:r w:rsidRPr="001F5511">
        <w:rPr>
          <w:rFonts w:cs="Arial"/>
          <w:sz w:val="28"/>
          <w:szCs w:val="28"/>
        </w:rPr>
        <w:t>ROOF</w:t>
      </w:r>
      <w:bookmarkEnd w:id="56"/>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57" w:name="_Toc190654"/>
      <w:r w:rsidRPr="001F5511">
        <w:rPr>
          <w:rFonts w:cs="Arial"/>
          <w:sz w:val="28"/>
          <w:szCs w:val="28"/>
        </w:rPr>
        <w:t>BINS AND RECYCLIN</w:t>
      </w:r>
      <w:r w:rsidR="00215101" w:rsidRPr="001F5511">
        <w:rPr>
          <w:rFonts w:cs="Arial"/>
          <w:sz w:val="28"/>
          <w:szCs w:val="28"/>
        </w:rPr>
        <w:t>G</w:t>
      </w:r>
      <w:bookmarkEnd w:id="57"/>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58" w:name="_Toc190655"/>
      <w:r w:rsidRPr="00900DBE">
        <w:rPr>
          <w:rFonts w:cs="Arial"/>
          <w:sz w:val="28"/>
          <w:szCs w:val="28"/>
        </w:rPr>
        <w:t>STORAGE</w:t>
      </w:r>
      <w:bookmarkEnd w:id="58"/>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59" w:name="_Toc190656"/>
      <w:r w:rsidRPr="00900DBE">
        <w:rPr>
          <w:rFonts w:cs="Arial"/>
          <w:sz w:val="28"/>
          <w:szCs w:val="28"/>
        </w:rPr>
        <w:lastRenderedPageBreak/>
        <w:t>DANGEROUS SUBSTANCES</w:t>
      </w:r>
      <w:r w:rsidR="00E06ADC" w:rsidRPr="00900DBE">
        <w:rPr>
          <w:rFonts w:cs="Arial"/>
          <w:sz w:val="28"/>
          <w:szCs w:val="28"/>
        </w:rPr>
        <w:t xml:space="preserve"> including liquid petroleum gas</w:t>
      </w:r>
      <w:bookmarkEnd w:id="59"/>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60" w:name="_Toc190657"/>
      <w:r w:rsidRPr="00900DBE">
        <w:rPr>
          <w:rFonts w:cs="Arial"/>
          <w:sz w:val="28"/>
          <w:szCs w:val="28"/>
        </w:rPr>
        <w:t>PETS</w:t>
      </w:r>
      <w:bookmarkEnd w:id="60"/>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61" w:name="_Toc190658"/>
      <w:r w:rsidRPr="00900DBE">
        <w:rPr>
          <w:rFonts w:cs="Arial"/>
          <w:sz w:val="28"/>
          <w:szCs w:val="28"/>
        </w:rPr>
        <w:t>SMOKING</w:t>
      </w:r>
      <w:bookmarkEnd w:id="61"/>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62" w:name="_Toc190659"/>
      <w:r w:rsidRPr="00900DBE">
        <w:rPr>
          <w:rFonts w:cs="Arial"/>
          <w:sz w:val="28"/>
          <w:szCs w:val="28"/>
        </w:rPr>
        <w:t>ADDITIONAL TENANCY TERMS</w:t>
      </w:r>
      <w:bookmarkEnd w:id="62"/>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63" w:name="_Toc190660"/>
      <w:r w:rsidRPr="00900DBE">
        <w:rPr>
          <w:rFonts w:cs="Arial"/>
          <w:sz w:val="28"/>
          <w:szCs w:val="28"/>
        </w:rPr>
        <w:t>THE GUARANTOR</w:t>
      </w:r>
      <w:bookmarkEnd w:id="63"/>
    </w:p>
    <w:p w14:paraId="1062E805" w14:textId="77777777" w:rsidR="00721C76" w:rsidRPr="00FA5034" w:rsidRDefault="00721C76" w:rsidP="00721C76">
      <w:pPr>
        <w:rPr>
          <w:rFonts w:cs="Arial"/>
          <w:sz w:val="24"/>
          <w:szCs w:val="24"/>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64" w:name="_Toc190661"/>
      <w:r w:rsidRPr="00900DBE">
        <w:rPr>
          <w:rFonts w:cs="Arial"/>
          <w:sz w:val="28"/>
          <w:szCs w:val="28"/>
        </w:rPr>
        <w:t>DECLARATIONS</w:t>
      </w:r>
      <w:bookmarkEnd w:id="64"/>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5" w:name="_Toc495589975"/>
      <w:bookmarkStart w:id="66" w:name="_Toc495593660"/>
      <w:r w:rsidRPr="002B1B30">
        <w:rPr>
          <w:rFonts w:cs="Arial"/>
          <w:sz w:val="24"/>
          <w:szCs w:val="24"/>
        </w:rPr>
        <w:t xml:space="preserve">Private residential tenancies are not subject to the Requirements of Writing (Scotland) Act 1995, so this Agreement can be ‘signed’ by the Tenant(s) and Landlord(s) typing </w:t>
      </w:r>
      <w:r w:rsidRPr="002B1B30">
        <w:rPr>
          <w:rFonts w:cs="Arial"/>
          <w:sz w:val="24"/>
          <w:szCs w:val="24"/>
        </w:rPr>
        <w:lastRenderedPageBreak/>
        <w:t>their names into the electronic document and sending it by email if all parties agree to this. A physical copy can be signed instead if this is preferred.</w:t>
      </w:r>
      <w:bookmarkEnd w:id="65"/>
      <w:bookmarkEnd w:id="66"/>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w:t>
      </w:r>
      <w:proofErr w:type="gramStart"/>
      <w:r w:rsidRPr="002B1B30">
        <w:rPr>
          <w:rFonts w:cs="Arial"/>
          <w:sz w:val="24"/>
          <w:szCs w:val="24"/>
        </w:rPr>
        <w:t>do, or</w:t>
      </w:r>
      <w:proofErr w:type="gramEnd"/>
      <w:r w:rsidRPr="002B1B30">
        <w:rPr>
          <w:rFonts w:cs="Arial"/>
          <w:sz w:val="24"/>
          <w:szCs w:val="24"/>
        </w:rPr>
        <w:t xml:space="preserve">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lastRenderedPageBreak/>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C706D4"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5075A734"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 xml:space="preserve">All letting agents are required by law to follow a Letting Agent Code of </w:t>
      </w:r>
      <w:r>
        <w:rPr>
          <w:rFonts w:cs="Arial"/>
          <w:color w:val="333333"/>
          <w:sz w:val="24"/>
          <w:szCs w:val="24"/>
          <w:shd w:val="clear" w:color="auto" w:fill="FFFFFF"/>
        </w:rPr>
        <w:tab/>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does not need to agree to receive notices under the Agreement by email. If the tenant agrees to receive notices by email this could include important messages.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67FA3BC"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notice of removal - Paragraph 34.8 of the Act </w:t>
      </w:r>
      <w:proofErr w:type="gramStart"/>
      <w:r w:rsidR="00B52F04" w:rsidRPr="00B52F04">
        <w:rPr>
          <w:rFonts w:cs="Arial"/>
          <w:sz w:val="24"/>
          <w:szCs w:val="24"/>
        </w:rPr>
        <w:t>Of</w:t>
      </w:r>
      <w:proofErr w:type="gramEnd"/>
      <w:r w:rsidR="00B52F04" w:rsidRPr="00B52F04">
        <w:rPr>
          <w:rFonts w:cs="Arial"/>
          <w:sz w:val="24"/>
          <w:szCs w:val="24"/>
        </w:rPr>
        <w:t xml:space="preserve"> </w:t>
      </w:r>
      <w:proofErr w:type="spellStart"/>
      <w:r w:rsidR="00B52F04" w:rsidRPr="00B52F04">
        <w:rPr>
          <w:rFonts w:cs="Arial"/>
          <w:sz w:val="24"/>
          <w:szCs w:val="24"/>
        </w:rPr>
        <w:t>Sederunt</w:t>
      </w:r>
      <w:proofErr w:type="spellEnd"/>
      <w:r w:rsidR="00B52F04" w:rsidRPr="00B52F04">
        <w:rPr>
          <w:rFonts w:cs="Arial"/>
          <w:sz w:val="24"/>
          <w:szCs w:val="24"/>
        </w:rPr>
        <w:t xml:space="preserve">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w:t>
      </w:r>
      <w:r w:rsidRPr="002B1B30">
        <w:rPr>
          <w:rFonts w:cs="Arial"/>
          <w:color w:val="auto"/>
          <w:sz w:val="24"/>
          <w:szCs w:val="24"/>
          <w:lang w:val="en"/>
        </w:rPr>
        <w:lastRenderedPageBreak/>
        <w:t xml:space="preserve">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lastRenderedPageBreak/>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proofErr w:type="gramStart"/>
      <w:r w:rsidRPr="002B1B30">
        <w:rPr>
          <w:rFonts w:cs="Arial"/>
          <w:color w:val="auto"/>
          <w:sz w:val="24"/>
          <w:szCs w:val="24"/>
        </w:rPr>
        <w:t>see  Useful</w:t>
      </w:r>
      <w:proofErr w:type="gramEnd"/>
      <w:r w:rsidRPr="002B1B30">
        <w:rPr>
          <w:rFonts w:cs="Arial"/>
          <w:color w:val="auto"/>
          <w:sz w:val="24"/>
          <w:szCs w:val="24"/>
        </w:rPr>
        <w:t xml:space="preserve">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w:t>
      </w:r>
      <w:r w:rsidRPr="002B1B30">
        <w:rPr>
          <w:rFonts w:cs="Arial"/>
          <w:sz w:val="24"/>
          <w:szCs w:val="24"/>
        </w:rPr>
        <w:lastRenderedPageBreak/>
        <w:t xml:space="preserve">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 rent)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3CE48B30"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Any retention of a deposit by a landlord or letting agent is a serious matter, as deductions from tenancy deposits can only be done by one of the approved </w:t>
      </w:r>
      <w:r w:rsidRPr="007A53F3">
        <w:rPr>
          <w:rFonts w:cs="Arial"/>
          <w:color w:val="000000"/>
          <w:sz w:val="24"/>
          <w:szCs w:val="24"/>
        </w:rPr>
        <w:lastRenderedPageBreak/>
        <w:t>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w:t>
      </w:r>
      <w:proofErr w:type="gramStart"/>
      <w:r w:rsidRPr="007A53F3">
        <w:rPr>
          <w:rFonts w:cs="Arial"/>
          <w:color w:val="000000"/>
          <w:sz w:val="24"/>
          <w:szCs w:val="24"/>
        </w:rPr>
        <w:t>their  deposit</w:t>
      </w:r>
      <w:proofErr w:type="gramEnd"/>
      <w:r w:rsidRPr="007A53F3">
        <w:rPr>
          <w:rFonts w:cs="Arial"/>
          <w:color w:val="000000"/>
          <w:sz w:val="24"/>
          <w:szCs w:val="24"/>
        </w:rPr>
        <w:t xml:space="preserve">,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lastRenderedPageBreak/>
        <w:t xml:space="preserve">Examples of money that the landlord can ask to be paid by the scheme (and not paid back to the tenant) are: </w:t>
      </w:r>
    </w:p>
    <w:p w14:paraId="76BA6E46"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2EF4FF00"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t xml:space="preserve">If the landlord does not agree that the whole deposit should be repaid to the tenant, then the landlord can try to agree the figures with the tenant. But if the </w:t>
      </w:r>
      <w:r w:rsidRPr="007A53F3">
        <w:rPr>
          <w:rFonts w:cs="Arial"/>
          <w:color w:val="212122"/>
          <w:sz w:val="24"/>
          <w:szCs w:val="24"/>
        </w:rPr>
        <w:lastRenderedPageBreak/>
        <w:t xml:space="preserve">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79FECF51" w14:textId="336365DC" w:rsidR="00ED66E9" w:rsidRDefault="00C706D4"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67" w:name="_Ref487097927"/>
      <w:r w:rsidRPr="00865934">
        <w:rPr>
          <w:rFonts w:cs="Arial"/>
          <w:b/>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865934"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2B1B30" w:rsidRDefault="00097BB2" w:rsidP="00865934">
      <w:pPr>
        <w:pStyle w:val="Heading5"/>
        <w:ind w:left="1560" w:hanging="851"/>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865934">
      <w:pPr>
        <w:pStyle w:val="Heading5"/>
        <w:ind w:left="1560" w:hanging="851"/>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tenement.  </w:t>
      </w:r>
    </w:p>
    <w:p w14:paraId="31FC2E0C" w14:textId="77777777" w:rsidR="00097BB2" w:rsidRPr="002B1B30" w:rsidRDefault="00097BB2" w:rsidP="00865934">
      <w:pPr>
        <w:pStyle w:val="Heading5"/>
        <w:ind w:left="1560" w:hanging="851"/>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 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865934">
      <w:pPr>
        <w:pStyle w:val="Heading5"/>
        <w:ind w:left="1560" w:hanging="851"/>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2B1B30" w:rsidRDefault="00097BB2" w:rsidP="00865934">
      <w:pPr>
        <w:pStyle w:val="Heading5"/>
        <w:ind w:left="1560" w:hanging="851"/>
        <w:rPr>
          <w:rFonts w:cs="Arial"/>
        </w:rPr>
      </w:pPr>
      <w:r w:rsidRPr="002B1B30">
        <w:rPr>
          <w:rFonts w:cs="Arial"/>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25FA579"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Pr="00135A8B">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865934">
      <w:pPr>
        <w:pStyle w:val="Heading5"/>
        <w:ind w:left="1560" w:hanging="851"/>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865934">
      <w:pPr>
        <w:pStyle w:val="Heading5"/>
        <w:ind w:left="1560" w:hanging="851"/>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865934">
      <w:pPr>
        <w:pStyle w:val="Heading5"/>
        <w:ind w:left="1560" w:hanging="851"/>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865934">
      <w:pPr>
        <w:pStyle w:val="Heading5"/>
        <w:ind w:left="1560" w:hanging="851"/>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865934">
      <w:pPr>
        <w:pStyle w:val="Heading5"/>
        <w:ind w:left="1560" w:hanging="851"/>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865934">
      <w:pPr>
        <w:pStyle w:val="Heading5"/>
        <w:ind w:left="1560" w:hanging="851"/>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865934">
      <w:pPr>
        <w:pStyle w:val="Heading5"/>
        <w:ind w:left="1560" w:hanging="851"/>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4637D0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77777777"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7777777"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 xml:space="preserve">If the tenant gives the notice to the landlord by </w:t>
      </w:r>
      <w:proofErr w:type="gramStart"/>
      <w:r w:rsidRPr="00135A8B">
        <w:rPr>
          <w:rFonts w:cs="Arial"/>
          <w:sz w:val="24"/>
          <w:szCs w:val="24"/>
        </w:rPr>
        <w:t>hand  (</w:t>
      </w:r>
      <w:proofErr w:type="gramEnd"/>
      <w:r w:rsidRPr="00135A8B">
        <w:rPr>
          <w:rFonts w:cs="Arial"/>
          <w:sz w:val="24"/>
          <w:szCs w:val="24"/>
        </w:rPr>
        <w:t>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3AA0F54C"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w:t>
      </w:r>
      <w:r w:rsidR="00FC5FA7">
        <w:rPr>
          <w:rFonts w:cs="Arial"/>
          <w:sz w:val="24"/>
          <w:szCs w:val="24"/>
          <w:lang w:val="en"/>
        </w:rPr>
        <w:t>The tenant does not</w:t>
      </w:r>
      <w:r w:rsidRPr="002B1B30">
        <w:rPr>
          <w:rFonts w:cs="Arial"/>
          <w:sz w:val="24"/>
          <w:szCs w:val="24"/>
          <w:lang w:val="en"/>
        </w:rPr>
        <w:t xml:space="preserve">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2233E865"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w:t>
      </w:r>
      <w:proofErr w:type="gramStart"/>
      <w:r w:rsidRPr="002B1B30">
        <w:rPr>
          <w:rFonts w:cs="Arial"/>
          <w:sz w:val="24"/>
          <w:szCs w:val="24"/>
        </w:rPr>
        <w:t>18 eviction</w:t>
      </w:r>
      <w:proofErr w:type="gramEnd"/>
      <w:r w:rsidRPr="002B1B30">
        <w:rPr>
          <w:rFonts w:cs="Arial"/>
          <w:sz w:val="24"/>
          <w:szCs w:val="24"/>
        </w:rPr>
        <w:t xml:space="preserve">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3C6727E9" w:rsidR="00097BB2" w:rsidRPr="002B1B30" w:rsidRDefault="00097BB2" w:rsidP="00097BB2">
      <w:pPr>
        <w:pStyle w:val="BodyText2"/>
        <w:ind w:left="709"/>
        <w:jc w:val="left"/>
        <w:rPr>
          <w:rFonts w:cs="Arial"/>
          <w:sz w:val="24"/>
          <w:szCs w:val="24"/>
        </w:rPr>
      </w:pPr>
      <w:r w:rsidRPr="002B1B30">
        <w:rPr>
          <w:rFonts w:cs="Arial"/>
          <w:b/>
          <w:sz w:val="24"/>
          <w:szCs w:val="24"/>
        </w:rPr>
        <w:t>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1B186D7A"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84 days' (or 12 weeks) notice.</w:t>
      </w:r>
      <w:r w:rsidRPr="002B1B30">
        <w:rPr>
          <w:rFonts w:cs="Arial"/>
          <w:sz w:val="24"/>
          <w:szCs w:val="24"/>
        </w:rPr>
        <w:t xml:space="preserve">  </w:t>
      </w:r>
    </w:p>
    <w:p w14:paraId="68B184D6" w14:textId="64F08BDA" w:rsidR="00097BB2" w:rsidRPr="002B1B30" w:rsidRDefault="00097BB2" w:rsidP="00097BB2">
      <w:pPr>
        <w:pStyle w:val="BodyText2"/>
        <w:ind w:left="709"/>
        <w:jc w:val="left"/>
        <w:rPr>
          <w:rFonts w:cs="Arial"/>
          <w:sz w:val="24"/>
          <w:szCs w:val="24"/>
        </w:rPr>
      </w:pPr>
      <w:r w:rsidRPr="002B1B30">
        <w:rPr>
          <w:rFonts w:cs="Arial"/>
          <w:b/>
          <w:sz w:val="24"/>
          <w:szCs w:val="24"/>
        </w:rPr>
        <w:t>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w:t>
      </w:r>
      <w:proofErr w:type="spellStart"/>
      <w:r w:rsidRPr="002B1B30">
        <w:rPr>
          <w:rFonts w:cs="Arial"/>
          <w:sz w:val="24"/>
          <w:szCs w:val="24"/>
        </w:rPr>
        <w:t>i</w:t>
      </w:r>
      <w:proofErr w:type="spellEnd"/>
      <w:r w:rsidRPr="002B1B30">
        <w:rPr>
          <w:rFonts w:cs="Arial"/>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lastRenderedPageBreak/>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w:t>
      </w:r>
      <w:proofErr w:type="spellStart"/>
      <w:r w:rsidRPr="002B1B30">
        <w:rPr>
          <w:rFonts w:cs="Arial"/>
          <w:sz w:val="24"/>
          <w:szCs w:val="24"/>
        </w:rPr>
        <w:t>i</w:t>
      </w:r>
      <w:proofErr w:type="spellEnd"/>
      <w:r w:rsidRPr="002B1B30">
        <w:rPr>
          <w:rFonts w:cs="Arial"/>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Two of the eviction grounds can be mandatory in some cases and discretionary in some others. </w:t>
      </w:r>
      <w:proofErr w:type="gramStart"/>
      <w:r w:rsidRPr="002B1B30">
        <w:rPr>
          <w:rFonts w:cs="Arial"/>
          <w:sz w:val="24"/>
          <w:szCs w:val="24"/>
        </w:rPr>
        <w:t>So</w:t>
      </w:r>
      <w:proofErr w:type="gramEnd"/>
      <w:r w:rsidRPr="002B1B30">
        <w:rPr>
          <w:rFonts w:cs="Arial"/>
          <w:sz w:val="24"/>
          <w:szCs w:val="24"/>
        </w:rPr>
        <w:t xml:space="preserve">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in some </w:t>
      </w:r>
      <w:proofErr w:type="gramStart"/>
      <w:r w:rsidRPr="002B1B30">
        <w:rPr>
          <w:rFonts w:cs="Arial"/>
          <w:sz w:val="24"/>
          <w:szCs w:val="24"/>
        </w:rPr>
        <w:t>cases</w:t>
      </w:r>
      <w:proofErr w:type="gramEnd"/>
      <w:r w:rsidRPr="002B1B30">
        <w:rPr>
          <w:rFonts w:cs="Arial"/>
          <w:sz w:val="24"/>
          <w:szCs w:val="24"/>
        </w:rPr>
        <w:t xml:space="preserve">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lastRenderedPageBreak/>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w:t>
      </w:r>
      <w:proofErr w:type="gramStart"/>
      <w:r w:rsidRPr="002B1B30">
        <w:rPr>
          <w:rFonts w:cs="Arial"/>
          <w:sz w:val="24"/>
          <w:szCs w:val="24"/>
        </w:rPr>
        <w:t>if:-</w:t>
      </w:r>
      <w:proofErr w:type="gramEnd"/>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w:t>
      </w:r>
      <w:proofErr w:type="gramStart"/>
      <w:r w:rsidRPr="002B1B30">
        <w:rPr>
          <w:rFonts w:cs="Arial"/>
          <w:sz w:val="24"/>
          <w:szCs w:val="24"/>
        </w:rPr>
        <w:t>if:-</w:t>
      </w:r>
      <w:proofErr w:type="gramEnd"/>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w:t>
      </w:r>
      <w:r w:rsidRPr="002B1B30">
        <w:rPr>
          <w:rFonts w:cs="Arial"/>
          <w:sz w:val="24"/>
          <w:szCs w:val="24"/>
        </w:rPr>
        <w:lastRenderedPageBreak/>
        <w:t xml:space="preserve">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lastRenderedPageBreak/>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C706D4"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C706D4"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C706D4"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C706D4"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C706D4"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C706D4"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C706D4"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C706D4"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C706D4"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C706D4"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C706D4"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C706D4"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C706D4"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C706D4"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C706D4"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C706D4"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C706D4" w:rsidP="00097BB2">
      <w:pPr>
        <w:autoSpaceDE w:val="0"/>
        <w:autoSpaceDN w:val="0"/>
        <w:adjustRightInd w:val="0"/>
        <w:rPr>
          <w:rFonts w:cs="Arial"/>
          <w:color w:val="0000FF"/>
          <w:sz w:val="24"/>
          <w:szCs w:val="24"/>
        </w:rPr>
      </w:pPr>
      <w:hyperlink r:id="rId50"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C706D4" w:rsidP="00097BB2">
      <w:pPr>
        <w:pStyle w:val="BodyText"/>
        <w:jc w:val="left"/>
        <w:rPr>
          <w:rFonts w:cs="Arial"/>
          <w:color w:val="auto"/>
          <w:sz w:val="24"/>
          <w:szCs w:val="24"/>
        </w:rPr>
      </w:pPr>
      <w:hyperlink r:id="rId51"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C706D4"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C706D4" w:rsidP="00097BB2">
      <w:pPr>
        <w:pStyle w:val="BodyText"/>
        <w:jc w:val="left"/>
        <w:rPr>
          <w:rFonts w:cs="Arial"/>
          <w:color w:val="auto"/>
          <w:sz w:val="24"/>
          <w:szCs w:val="24"/>
        </w:rPr>
      </w:pPr>
      <w:hyperlink r:id="rId53"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C706D4" w:rsidP="00097BB2">
      <w:pPr>
        <w:pStyle w:val="BodyText"/>
        <w:jc w:val="left"/>
        <w:rPr>
          <w:rFonts w:cs="Arial"/>
          <w:color w:val="auto"/>
          <w:sz w:val="24"/>
          <w:szCs w:val="24"/>
        </w:rPr>
      </w:pPr>
      <w:hyperlink r:id="rId54"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C706D4"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C706D4" w:rsidP="00097BB2">
      <w:pPr>
        <w:pStyle w:val="BodyText"/>
        <w:jc w:val="left"/>
        <w:rPr>
          <w:rFonts w:cs="Arial"/>
          <w:color w:val="auto"/>
          <w:sz w:val="24"/>
          <w:szCs w:val="24"/>
        </w:rPr>
      </w:pPr>
      <w:hyperlink r:id="rId56"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C706D4" w:rsidP="00097BB2">
      <w:pPr>
        <w:pStyle w:val="BodyText"/>
        <w:jc w:val="left"/>
        <w:rPr>
          <w:rFonts w:cs="Arial"/>
          <w:color w:val="auto"/>
          <w:sz w:val="24"/>
          <w:szCs w:val="24"/>
        </w:rPr>
      </w:pPr>
      <w:hyperlink r:id="rId57"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C706D4" w:rsidP="00097BB2">
      <w:pPr>
        <w:pStyle w:val="BodyText"/>
        <w:jc w:val="left"/>
        <w:rPr>
          <w:rFonts w:cs="Arial"/>
          <w:color w:val="auto"/>
          <w:sz w:val="24"/>
          <w:szCs w:val="24"/>
        </w:rPr>
      </w:pPr>
      <w:hyperlink r:id="rId58"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C706D4" w:rsidP="00097BB2">
      <w:pPr>
        <w:pStyle w:val="BodyText"/>
        <w:jc w:val="left"/>
        <w:rPr>
          <w:rFonts w:cs="Arial"/>
          <w:color w:val="auto"/>
          <w:sz w:val="24"/>
          <w:szCs w:val="24"/>
        </w:rPr>
      </w:pPr>
      <w:hyperlink r:id="rId59"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C706D4" w:rsidP="00097BB2">
      <w:pPr>
        <w:pStyle w:val="BodyText"/>
        <w:jc w:val="left"/>
        <w:rPr>
          <w:rFonts w:cs="Arial"/>
          <w:color w:val="auto"/>
          <w:sz w:val="24"/>
          <w:szCs w:val="24"/>
        </w:rPr>
      </w:pPr>
      <w:hyperlink r:id="rId60"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C706D4"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C706D4"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C706D4"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C706D4"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C706D4"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C706D4" w:rsidP="00097BB2">
      <w:pPr>
        <w:pStyle w:val="BodyText"/>
        <w:ind w:left="567"/>
        <w:jc w:val="left"/>
        <w:rPr>
          <w:rFonts w:cs="Arial"/>
          <w:sz w:val="24"/>
          <w:szCs w:val="24"/>
        </w:rPr>
      </w:pPr>
      <w:hyperlink r:id="rId66" w:history="1">
        <w:r w:rsidR="00097BB2" w:rsidRPr="002B1B30">
          <w:rPr>
            <w:rStyle w:val="Hyperlink"/>
            <w:rFonts w:cs="Arial"/>
            <w:color w:val="000000"/>
            <w:sz w:val="24"/>
            <w:szCs w:val="24"/>
          </w:rPr>
          <w:t>The Notice to Local Authorities (Scotland) Amendment Regulations 2017, S.S.I. 2017/295</w:t>
        </w:r>
      </w:hyperlink>
    </w:p>
    <w:p w14:paraId="38F7CDFE" w14:textId="2A409E7B" w:rsidR="00097BB2" w:rsidRDefault="00C706D4" w:rsidP="00097BB2">
      <w:pPr>
        <w:pStyle w:val="BodyText"/>
        <w:ind w:left="567"/>
        <w:jc w:val="left"/>
        <w:rPr>
          <w:rStyle w:val="Hyperlink"/>
          <w:rFonts w:cs="Arial"/>
          <w:color w:val="000000"/>
          <w:sz w:val="24"/>
          <w:szCs w:val="24"/>
        </w:rPr>
      </w:pPr>
      <w:hyperlink r:id="rId67"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C706D4" w:rsidP="00D279BF">
      <w:pPr>
        <w:pStyle w:val="BodyText"/>
        <w:jc w:val="left"/>
        <w:rPr>
          <w:rFonts w:cs="Arial"/>
          <w:color w:val="auto"/>
          <w:sz w:val="24"/>
          <w:szCs w:val="24"/>
        </w:rPr>
      </w:pPr>
      <w:hyperlink r:id="rId68"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9"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0878F" w14:textId="77777777" w:rsidR="00D47EEB" w:rsidRDefault="00D47EEB">
      <w:r>
        <w:separator/>
      </w:r>
    </w:p>
  </w:endnote>
  <w:endnote w:type="continuationSeparator" w:id="0">
    <w:p w14:paraId="2E2CAE22" w14:textId="77777777" w:rsidR="00D47EEB" w:rsidRDefault="00D47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C706D4" w:rsidRPr="00481B86" w:rsidRDefault="00C706D4" w:rsidP="00CE0C3B">
    <w:pPr>
      <w:pStyle w:val="Footer"/>
      <w:rPr>
        <w:u w:val="single"/>
      </w:rPr>
    </w:pPr>
    <w:proofErr w:type="gramStart"/>
    <w:r>
      <w:rPr>
        <w:u w:val="single"/>
      </w:rPr>
      <w:t>Key:-</w:t>
    </w:r>
    <w:proofErr w:type="gramEnd"/>
  </w:p>
  <w:p w14:paraId="72793673" w14:textId="77777777" w:rsidR="00C706D4" w:rsidRDefault="00C706D4" w:rsidP="00CE0C3B">
    <w:pPr>
      <w:pStyle w:val="Footer"/>
    </w:pPr>
    <w:r w:rsidRPr="00DA6622">
      <w:rPr>
        <w:b/>
      </w:rPr>
      <w:t>Bold Text</w:t>
    </w:r>
    <w:r>
      <w:rPr>
        <w:b/>
      </w:rPr>
      <w:t xml:space="preserve">: </w:t>
    </w:r>
    <w:r>
      <w:t xml:space="preserve">Mandatory clauses - core rights and obligations </w:t>
    </w:r>
  </w:p>
  <w:p w14:paraId="2F2AE166" w14:textId="77777777" w:rsidR="00C706D4" w:rsidRDefault="00C706D4"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0F0BC0C4" w:rsidR="00C706D4" w:rsidRDefault="00C706D4">
    <w:pPr>
      <w:pStyle w:val="Footer"/>
      <w:jc w:val="right"/>
    </w:pPr>
    <w:r>
      <w:fldChar w:fldCharType="begin"/>
    </w:r>
    <w:r>
      <w:instrText xml:space="preserve"> PAGE   \* MERGEFORMAT </w:instrText>
    </w:r>
    <w:r>
      <w:fldChar w:fldCharType="separate"/>
    </w:r>
    <w:r>
      <w:rPr>
        <w:noProof/>
      </w:rPr>
      <w:t>1</w:t>
    </w:r>
    <w:r>
      <w:rPr>
        <w:noProof/>
      </w:rPr>
      <w:fldChar w:fldCharType="end"/>
    </w:r>
  </w:p>
  <w:p w14:paraId="4D406D5B" w14:textId="77777777" w:rsidR="00C706D4" w:rsidRDefault="00C70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C706D4" w:rsidRPr="00EE1575" w:rsidRDefault="00C706D4" w:rsidP="00AD57E9">
    <w:pPr>
      <w:pStyle w:val="Footer"/>
      <w:rPr>
        <w:u w:val="single"/>
      </w:rPr>
    </w:pPr>
    <w:proofErr w:type="gramStart"/>
    <w:r w:rsidRPr="00EE1575">
      <w:rPr>
        <w:u w:val="single"/>
      </w:rPr>
      <w:t>Key:-</w:t>
    </w:r>
    <w:proofErr w:type="gramEnd"/>
  </w:p>
  <w:p w14:paraId="055816DE" w14:textId="77777777" w:rsidR="00C706D4" w:rsidRPr="00EE1575" w:rsidRDefault="00C706D4" w:rsidP="00AD57E9">
    <w:pPr>
      <w:pStyle w:val="Footer"/>
    </w:pPr>
    <w:r w:rsidRPr="00EE1575">
      <w:rPr>
        <w:b/>
      </w:rPr>
      <w:t xml:space="preserve">Bold Text: </w:t>
    </w:r>
    <w:r w:rsidRPr="00EE1575">
      <w:t xml:space="preserve">Mandatory clauses - core rights and obligations </w:t>
    </w:r>
  </w:p>
  <w:p w14:paraId="1F71E3D8" w14:textId="77777777" w:rsidR="00C706D4" w:rsidRPr="00EE1575" w:rsidRDefault="00C706D4"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1070F210" w:rsidR="00C706D4" w:rsidRDefault="00C706D4">
    <w:pPr>
      <w:pStyle w:val="Footer"/>
      <w:jc w:val="right"/>
    </w:pPr>
    <w:r>
      <w:fldChar w:fldCharType="begin"/>
    </w:r>
    <w:r>
      <w:instrText xml:space="preserve"> PAGE   \* MERGEFORMAT </w:instrText>
    </w:r>
    <w:r>
      <w:fldChar w:fldCharType="separate"/>
    </w:r>
    <w:r>
      <w:rPr>
        <w:noProof/>
      </w:rPr>
      <w:t>57</w:t>
    </w:r>
    <w:r>
      <w:rPr>
        <w:noProof/>
      </w:rPr>
      <w:fldChar w:fldCharType="end"/>
    </w:r>
  </w:p>
  <w:p w14:paraId="4FC77EAD" w14:textId="77777777" w:rsidR="00C706D4" w:rsidRDefault="00C70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8546F" w14:textId="77777777" w:rsidR="00D47EEB" w:rsidRDefault="00D47EEB">
      <w:r>
        <w:separator/>
      </w:r>
    </w:p>
  </w:footnote>
  <w:footnote w:type="continuationSeparator" w:id="0">
    <w:p w14:paraId="1DCA2009" w14:textId="77777777" w:rsidR="00D47EEB" w:rsidRDefault="00D47EEB">
      <w:r>
        <w:continuationSeparator/>
      </w:r>
    </w:p>
  </w:footnote>
  <w:footnote w:id="1">
    <w:p w14:paraId="012AF55A" w14:textId="0F76DD54" w:rsidR="00C706D4" w:rsidRDefault="00C706D4"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C706D4" w:rsidRDefault="00C706D4"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w:t>
        </w:r>
        <w:r w:rsidRPr="0028608D">
          <w:rPr>
            <w:rStyle w:val="Hyperlink"/>
            <w:sz w:val="18"/>
            <w:szCs w:val="18"/>
          </w:rPr>
          <w:t>n</w:t>
        </w:r>
        <w:r w:rsidRPr="0028608D">
          <w:rPr>
            <w:rStyle w:val="Hyperlink"/>
            <w:sz w:val="18"/>
            <w:szCs w:val="18"/>
          </w:rPr>
          <w:t xml:space="preserve">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D27FCC"/>
    <w:multiLevelType w:val="hybridMultilevel"/>
    <w:tmpl w:val="41C8F0A2"/>
    <w:lvl w:ilvl="0" w:tplc="27B8393C">
      <w:start w:val="1"/>
      <w:numFmt w:val="decimal"/>
      <w:pStyle w:val="Heading4"/>
      <w:lvlText w:val="%1."/>
      <w:lvlJc w:val="left"/>
      <w:pPr>
        <w:ind w:left="3413" w:hanging="360"/>
      </w:pPr>
      <w:rPr>
        <w:b w:val="0"/>
      </w:r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5"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C87A8E"/>
    <w:multiLevelType w:val="hybridMultilevel"/>
    <w:tmpl w:val="CAF49C26"/>
    <w:lvl w:ilvl="0" w:tplc="DFD6CD6E">
      <w:start w:val="1"/>
      <w:numFmt w:val="bullet"/>
      <w:lvlText w:val=""/>
      <w:lvlJc w:val="left"/>
      <w:pPr>
        <w:ind w:left="1388" w:hanging="360"/>
      </w:pPr>
      <w:rPr>
        <w:rFonts w:ascii="Wingdings" w:hAnsi="Wingdings" w:hint="default"/>
      </w:rPr>
    </w:lvl>
    <w:lvl w:ilvl="1" w:tplc="08090003" w:tentative="1">
      <w:start w:val="1"/>
      <w:numFmt w:val="bullet"/>
      <w:lvlText w:val="o"/>
      <w:lvlJc w:val="left"/>
      <w:pPr>
        <w:ind w:left="2108" w:hanging="360"/>
      </w:pPr>
      <w:rPr>
        <w:rFonts w:ascii="Courier New" w:hAnsi="Courier New" w:cs="Courier New" w:hint="default"/>
      </w:rPr>
    </w:lvl>
    <w:lvl w:ilvl="2" w:tplc="08090005" w:tentative="1">
      <w:start w:val="1"/>
      <w:numFmt w:val="bullet"/>
      <w:lvlText w:val=""/>
      <w:lvlJc w:val="left"/>
      <w:pPr>
        <w:ind w:left="2828" w:hanging="360"/>
      </w:pPr>
      <w:rPr>
        <w:rFonts w:ascii="Wingdings" w:hAnsi="Wingdings" w:hint="default"/>
      </w:rPr>
    </w:lvl>
    <w:lvl w:ilvl="3" w:tplc="08090001" w:tentative="1">
      <w:start w:val="1"/>
      <w:numFmt w:val="bullet"/>
      <w:lvlText w:val=""/>
      <w:lvlJc w:val="left"/>
      <w:pPr>
        <w:ind w:left="3548" w:hanging="360"/>
      </w:pPr>
      <w:rPr>
        <w:rFonts w:ascii="Symbol" w:hAnsi="Symbol" w:hint="default"/>
      </w:rPr>
    </w:lvl>
    <w:lvl w:ilvl="4" w:tplc="08090003" w:tentative="1">
      <w:start w:val="1"/>
      <w:numFmt w:val="bullet"/>
      <w:lvlText w:val="o"/>
      <w:lvlJc w:val="left"/>
      <w:pPr>
        <w:ind w:left="4268" w:hanging="360"/>
      </w:pPr>
      <w:rPr>
        <w:rFonts w:ascii="Courier New" w:hAnsi="Courier New" w:cs="Courier New" w:hint="default"/>
      </w:rPr>
    </w:lvl>
    <w:lvl w:ilvl="5" w:tplc="08090005" w:tentative="1">
      <w:start w:val="1"/>
      <w:numFmt w:val="bullet"/>
      <w:lvlText w:val=""/>
      <w:lvlJc w:val="left"/>
      <w:pPr>
        <w:ind w:left="4988" w:hanging="360"/>
      </w:pPr>
      <w:rPr>
        <w:rFonts w:ascii="Wingdings" w:hAnsi="Wingdings" w:hint="default"/>
      </w:rPr>
    </w:lvl>
    <w:lvl w:ilvl="6" w:tplc="08090001" w:tentative="1">
      <w:start w:val="1"/>
      <w:numFmt w:val="bullet"/>
      <w:lvlText w:val=""/>
      <w:lvlJc w:val="left"/>
      <w:pPr>
        <w:ind w:left="5708" w:hanging="360"/>
      </w:pPr>
      <w:rPr>
        <w:rFonts w:ascii="Symbol" w:hAnsi="Symbol" w:hint="default"/>
      </w:rPr>
    </w:lvl>
    <w:lvl w:ilvl="7" w:tplc="08090003" w:tentative="1">
      <w:start w:val="1"/>
      <w:numFmt w:val="bullet"/>
      <w:lvlText w:val="o"/>
      <w:lvlJc w:val="left"/>
      <w:pPr>
        <w:ind w:left="6428" w:hanging="360"/>
      </w:pPr>
      <w:rPr>
        <w:rFonts w:ascii="Courier New" w:hAnsi="Courier New" w:cs="Courier New" w:hint="default"/>
      </w:rPr>
    </w:lvl>
    <w:lvl w:ilvl="8" w:tplc="08090005" w:tentative="1">
      <w:start w:val="1"/>
      <w:numFmt w:val="bullet"/>
      <w:lvlText w:val=""/>
      <w:lvlJc w:val="left"/>
      <w:pPr>
        <w:ind w:left="7148" w:hanging="360"/>
      </w:pPr>
      <w:rPr>
        <w:rFonts w:ascii="Wingdings" w:hAnsi="Wingdings" w:hint="default"/>
      </w:rPr>
    </w:lvl>
  </w:abstractNum>
  <w:abstractNum w:abstractNumId="16"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0"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3"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8"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3"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46"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7"/>
  </w:num>
  <w:num w:numId="2">
    <w:abstractNumId w:val="5"/>
  </w:num>
  <w:num w:numId="3">
    <w:abstractNumId w:val="8"/>
  </w:num>
  <w:num w:numId="4">
    <w:abstractNumId w:val="44"/>
  </w:num>
  <w:num w:numId="5">
    <w:abstractNumId w:val="34"/>
  </w:num>
  <w:num w:numId="6">
    <w:abstractNumId w:val="7"/>
  </w:num>
  <w:num w:numId="7">
    <w:abstractNumId w:val="28"/>
  </w:num>
  <w:num w:numId="8">
    <w:abstractNumId w:val="32"/>
    <w:lvlOverride w:ilvl="0">
      <w:startOverride w:val="1"/>
    </w:lvlOverride>
  </w:num>
  <w:num w:numId="9">
    <w:abstractNumId w:val="20"/>
  </w:num>
  <w:num w:numId="10">
    <w:abstractNumId w:val="12"/>
  </w:num>
  <w:num w:numId="11">
    <w:abstractNumId w:val="23"/>
  </w:num>
  <w:num w:numId="12">
    <w:abstractNumId w:val="16"/>
  </w:num>
  <w:num w:numId="13">
    <w:abstractNumId w:val="6"/>
  </w:num>
  <w:num w:numId="14">
    <w:abstractNumId w:val="40"/>
  </w:num>
  <w:num w:numId="15">
    <w:abstractNumId w:val="39"/>
  </w:num>
  <w:num w:numId="16">
    <w:abstractNumId w:val="9"/>
  </w:num>
  <w:num w:numId="17">
    <w:abstractNumId w:val="30"/>
  </w:num>
  <w:num w:numId="18">
    <w:abstractNumId w:val="35"/>
  </w:num>
  <w:num w:numId="19">
    <w:abstractNumId w:val="14"/>
  </w:num>
  <w:num w:numId="20">
    <w:abstractNumId w:val="26"/>
  </w:num>
  <w:num w:numId="21">
    <w:abstractNumId w:val="13"/>
  </w:num>
  <w:num w:numId="22">
    <w:abstractNumId w:val="21"/>
  </w:num>
  <w:num w:numId="23">
    <w:abstractNumId w:val="37"/>
  </w:num>
  <w:num w:numId="24">
    <w:abstractNumId w:val="3"/>
  </w:num>
  <w:num w:numId="25">
    <w:abstractNumId w:val="45"/>
  </w:num>
  <w:num w:numId="26">
    <w:abstractNumId w:val="41"/>
  </w:num>
  <w:num w:numId="27">
    <w:abstractNumId w:val="36"/>
  </w:num>
  <w:num w:numId="28">
    <w:abstractNumId w:val="19"/>
  </w:num>
  <w:num w:numId="29">
    <w:abstractNumId w:val="31"/>
  </w:num>
  <w:num w:numId="30">
    <w:abstractNumId w:val="43"/>
  </w:num>
  <w:num w:numId="31">
    <w:abstractNumId w:val="27"/>
  </w:num>
  <w:num w:numId="32">
    <w:abstractNumId w:val="38"/>
  </w:num>
  <w:num w:numId="33">
    <w:abstractNumId w:val="29"/>
  </w:num>
  <w:num w:numId="34">
    <w:abstractNumId w:val="18"/>
  </w:num>
  <w:num w:numId="35">
    <w:abstractNumId w:val="11"/>
  </w:num>
  <w:num w:numId="36">
    <w:abstractNumId w:val="22"/>
  </w:num>
  <w:num w:numId="37">
    <w:abstractNumId w:val="10"/>
  </w:num>
  <w:num w:numId="38">
    <w:abstractNumId w:val="25"/>
  </w:num>
  <w:num w:numId="39">
    <w:abstractNumId w:val="24"/>
  </w:num>
  <w:num w:numId="40">
    <w:abstractNumId w:val="4"/>
  </w:num>
  <w:num w:numId="41">
    <w:abstractNumId w:val="0"/>
  </w:num>
  <w:num w:numId="42">
    <w:abstractNumId w:val="2"/>
  </w:num>
  <w:num w:numId="43">
    <w:abstractNumId w:val="1"/>
  </w:num>
  <w:num w:numId="44">
    <w:abstractNumId w:val="42"/>
  </w:num>
  <w:num w:numId="45">
    <w:abstractNumId w:val="46"/>
  </w:num>
  <w:num w:numId="46">
    <w:abstractNumId w:val="33"/>
  </w:num>
  <w:num w:numId="47">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0"/>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717C"/>
    <w:rsid w:val="004B2D18"/>
    <w:rsid w:val="004B312A"/>
    <w:rsid w:val="004B3B09"/>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6F46"/>
    <w:rsid w:val="0096098B"/>
    <w:rsid w:val="00962EF8"/>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6BA5"/>
    <w:rsid w:val="00AA039A"/>
    <w:rsid w:val="00AA0E71"/>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0"/>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1"/>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styleId="UnresolvedMention">
    <w:name w:val="Unresolved Mention"/>
    <w:basedOn w:val="DefaultParagraphFont"/>
    <w:rsid w:val="0059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dsi/2017/9780111036648/contents" TargetMode="External"/><Relationship Id="rId68" Type="http://schemas.openxmlformats.org/officeDocument/2006/relationships/hyperlink" Target="http://www.legislation.gov.uk/ukpga/2018/12/contents/enacted"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4/8/contents" TargetMode="External"/><Relationship Id="rId58" Type="http://schemas.openxmlformats.org/officeDocument/2006/relationships/hyperlink" Target="http://www.legislation.gov.uk/ssi/2011/176/contents/made" TargetMode="External"/><Relationship Id="rId66" Type="http://schemas.openxmlformats.org/officeDocument/2006/relationships/hyperlink" Target="http://www.legislation.gov.uk/ssi/2017/295/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31/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0/10/section/26" TargetMode="External"/><Relationship Id="rId64" Type="http://schemas.openxmlformats.org/officeDocument/2006/relationships/hyperlink" Target="http://www.legislation.gov.uk/ssi/2017/297/contents/made" TargetMode="External"/><Relationship Id="rId69" Type="http://schemas.openxmlformats.org/officeDocument/2006/relationships/hyperlink" Target="https://protect-eu.mimecast.com/s/19JaBfkeb3Tb" TargetMode="External"/><Relationship Id="rId8" Type="http://schemas.openxmlformats.org/officeDocument/2006/relationships/endnotes" Target="endnotes.xml"/><Relationship Id="rId51" Type="http://schemas.openxmlformats.org/officeDocument/2006/relationships/hyperlink" Target="http://www.legislation.gov.uk/ukpga/1984/5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4/14/contents/enacted" TargetMode="External"/><Relationship Id="rId67" Type="http://schemas.openxmlformats.org/officeDocument/2006/relationships/hyperlink" Target="http://www.legislation.gov.uk/ssi/2017/293/contents/made"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asp/2006/1/contents" TargetMode="External"/><Relationship Id="rId62" Type="http://schemas.openxmlformats.org/officeDocument/2006/relationships/hyperlink" Target="http://www.legislation.gov.uk/sdsi/2017/9780111036655/contents"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landlords.org.uk" TargetMode="External"/><Relationship Id="rId57" Type="http://schemas.openxmlformats.org/officeDocument/2006/relationships/hyperlink" Target="http://www.legislation.gov.uk/asp/2011/14/contents"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ukpga/1987/26/contents" TargetMode="External"/><Relationship Id="rId60" Type="http://schemas.openxmlformats.org/officeDocument/2006/relationships/hyperlink" Target="http://www.legislation.gov.uk/asp/2016/19/contents" TargetMode="External"/><Relationship Id="rId65" Type="http://schemas.openxmlformats.org/officeDocument/2006/relationships/hyperlink" Target="http://www.legislation.gov.uk/ssi/2017/296/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arla.co.uk" TargetMode="External"/><Relationship Id="rId55" Type="http://schemas.openxmlformats.org/officeDocument/2006/relationships/hyperlink" Target="http://www.legislation.gov.uk/ukpga/2010/15/cont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92EC40-EA19-5042-A67C-EE68CB100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22456</Words>
  <Characters>128001</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150157</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2020-02-17T11:36:00Z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