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498"/>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498"/>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 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7777777" w:rsidR="00EF3E04" w:rsidRPr="009425DA" w:rsidRDefault="00EF3E04" w:rsidP="00D47EE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B7A09A6" w14:textId="77777777" w:rsidR="00EF3E04" w:rsidRPr="004A146A" w:rsidRDefault="00EF3E04" w:rsidP="00EF3E04">
      <w:pPr>
        <w:ind w:left="360"/>
        <w:contextualSpacing/>
        <w:rPr>
          <w:sz w:val="4"/>
          <w:szCs w:val="4"/>
        </w:rPr>
      </w:pPr>
    </w:p>
    <w:p w14:paraId="73D107C2" w14:textId="77777777" w:rsidR="00EF3E04" w:rsidRPr="009425DA" w:rsidRDefault="00EF3E04" w:rsidP="00D47EEB">
      <w:pPr>
        <w:numPr>
          <w:ilvl w:val="0"/>
          <w:numId w:val="46"/>
        </w:numPr>
        <w:spacing w:after="120"/>
        <w:ind w:left="357" w:hanging="357"/>
        <w:contextualSpacing/>
        <w:rPr>
          <w:sz w:val="24"/>
        </w:rPr>
      </w:pPr>
      <w:r w:rsidRPr="009425DA">
        <w:rPr>
          <w:sz w:val="24"/>
        </w:rPr>
        <w:t>If your landlord asks you to leave, they must give you:</w:t>
      </w:r>
    </w:p>
    <w:p w14:paraId="3523913E" w14:textId="77777777" w:rsidR="00EF3E04" w:rsidRPr="004A146A" w:rsidRDefault="00EF3E04" w:rsidP="00EF3E04">
      <w:pPr>
        <w:ind w:left="720"/>
        <w:contextualSpacing/>
        <w:rPr>
          <w:sz w:val="4"/>
          <w:szCs w:val="4"/>
        </w:rPr>
      </w:pPr>
    </w:p>
    <w:p w14:paraId="3087C36D" w14:textId="77777777" w:rsidR="00EF3E04" w:rsidRPr="009425DA" w:rsidRDefault="00EF3E04" w:rsidP="00D47EEB">
      <w:pPr>
        <w:numPr>
          <w:ilvl w:val="0"/>
          <w:numId w:val="47"/>
        </w:numPr>
        <w:contextualSpacing/>
        <w:rPr>
          <w:sz w:val="24"/>
        </w:rPr>
      </w:pPr>
      <w:r w:rsidRPr="009425DA">
        <w:rPr>
          <w:b/>
          <w:sz w:val="24"/>
        </w:rPr>
        <w:t>28 days’</w:t>
      </w:r>
      <w:r w:rsidRPr="009425DA">
        <w:rPr>
          <w:sz w:val="24"/>
        </w:rPr>
        <w:t xml:space="preserve"> notice (if you have lived in the property for less than six months or the landlord is using one of the six ‘behaviour’ grounds); or</w:t>
      </w:r>
    </w:p>
    <w:p w14:paraId="63610683" w14:textId="77777777" w:rsidR="00EF3E04" w:rsidRPr="009425DA" w:rsidRDefault="00EF3E04" w:rsidP="00D47EEB">
      <w:pPr>
        <w:numPr>
          <w:ilvl w:val="0"/>
          <w:numId w:val="47"/>
        </w:numPr>
        <w:contextualSpacing/>
        <w:rPr>
          <w:sz w:val="24"/>
        </w:rPr>
      </w:pPr>
      <w:r w:rsidRPr="009425DA">
        <w:rPr>
          <w:b/>
          <w:sz w:val="24"/>
        </w:rPr>
        <w:t>84 days’</w:t>
      </w:r>
      <w:r w:rsidRPr="009425DA">
        <w:rPr>
          <w:sz w:val="24"/>
        </w:rPr>
        <w:t xml:space="preserve"> notice (if you have lived in the property for more than six months and the landlord is not using the ‘behaviour’ grounds).</w:t>
      </w:r>
    </w:p>
    <w:p w14:paraId="1C43A83C" w14:textId="77777777" w:rsidR="00EF3E04" w:rsidRPr="004A146A" w:rsidRDefault="00EF3E04" w:rsidP="00EF3E04">
      <w:pPr>
        <w:ind w:left="360"/>
        <w:contextualSpacing/>
        <w:rPr>
          <w:sz w:val="4"/>
          <w:szCs w:val="4"/>
        </w:rPr>
      </w:pPr>
    </w:p>
    <w:p w14:paraId="6A99B4B3" w14:textId="77777777" w:rsidR="00EF3E04" w:rsidRPr="009425DA" w:rsidRDefault="00EF3E04" w:rsidP="00D47EEB">
      <w:pPr>
        <w:numPr>
          <w:ilvl w:val="0"/>
          <w:numId w:val="46"/>
        </w:numPr>
        <w:contextualSpacing/>
        <w:rPr>
          <w:sz w:val="24"/>
        </w:rPr>
      </w:pPr>
      <w:r w:rsidRPr="009425DA">
        <w:rPr>
          <w:sz w:val="24"/>
        </w:rPr>
        <w:t>If you want to leave, you must give your landlord 28 days’ notice in writing.  In your notice you will need to state the day you want the tenancy to end (this is normally the day after the notice period has ended).</w:t>
      </w:r>
    </w:p>
    <w:p w14:paraId="25B62BFE" w14:textId="77777777" w:rsidR="00EF3E04" w:rsidRPr="004A146A" w:rsidRDefault="00EF3E04" w:rsidP="00EF3E04">
      <w:pPr>
        <w:ind w:left="360"/>
        <w:contextualSpacing/>
        <w:rPr>
          <w:sz w:val="4"/>
          <w:szCs w:val="4"/>
        </w:rPr>
      </w:pPr>
    </w:p>
    <w:p w14:paraId="58C27781" w14:textId="77777777" w:rsidR="00EF3E04" w:rsidRPr="00A327EA" w:rsidRDefault="00EF3E04" w:rsidP="00D47EEB">
      <w:pPr>
        <w:numPr>
          <w:ilvl w:val="0"/>
          <w:numId w:val="46"/>
        </w:numPr>
        <w:rPr>
          <w:sz w:val="24"/>
        </w:rPr>
      </w:pPr>
      <w:r w:rsidRPr="00A327EA">
        <w:rPr>
          <w:sz w:val="24"/>
        </w:rPr>
        <w:t xml:space="preserve">If you think that your tenancy was ended unlawfully (for example, the landlord served you with a notice to leave on the grounds that they intended to sell the property, but then they let it to another tenant), you can apply to the First-tier Tribunal for Scotland (Housing and Property Chamber)   The Tribunal can award you up to six months' rent. </w:t>
      </w:r>
    </w:p>
    <w:p w14:paraId="376F6D99" w14:textId="77777777" w:rsidR="00EF3E04" w:rsidRPr="004A146A" w:rsidRDefault="00EF3E04" w:rsidP="00EF3E04"/>
    <w:p w14:paraId="2DE18A5E" w14:textId="7C13BE01"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w:t>
      </w:r>
      <w:proofErr w:type="gramStart"/>
      <w:r w:rsidRPr="009425DA">
        <w:rPr>
          <w:sz w:val="24"/>
        </w:rPr>
        <w:t>following  tenancy</w:t>
      </w:r>
      <w:proofErr w:type="gramEnd"/>
      <w:r w:rsidRPr="009425DA">
        <w:rPr>
          <w:sz w:val="24"/>
        </w:rPr>
        <w:t xml:space="preserve">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4A6861">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4A6861">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4A6861">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4A6861">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4A6861">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4A6861">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4A6861">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4A6861">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4A6861">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4A6861">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4A6861">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4A6861">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4A6861">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4A6861">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4A6861">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4A6861">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4A6861">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4A6861">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4A6861">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4A6861">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4A6861">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4A6861">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4A6861">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4A6861">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4A6861">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4A6861">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4A6861">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4A6861">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4A6861">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4A6861">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4A6861">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4A6861">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4A6861">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4A6861">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4A6861">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4A6861">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4A6861">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4A6861">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4A6861">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4A6861">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4A6861">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4A6861">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4A6861">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4A6861">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4A6861">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 xml:space="preserve">Some of the mandatory and discretionary clauses contain square brackets [     </w:t>
      </w:r>
      <w:proofErr w:type="gramStart"/>
      <w:r>
        <w:rPr>
          <w:sz w:val="24"/>
          <w:szCs w:val="24"/>
        </w:rPr>
        <w:t xml:space="preserve">  ]</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1606BD31" w:rsidR="001B02DC" w:rsidRPr="002B1B30" w:rsidRDefault="001B02DC" w:rsidP="001B02DC">
      <w:pPr>
        <w:rPr>
          <w:rFonts w:cs="Arial"/>
          <w:b/>
          <w:sz w:val="24"/>
          <w:szCs w:val="24"/>
        </w:rPr>
      </w:pPr>
      <w:r w:rsidRPr="002B1B30">
        <w:rPr>
          <w:rFonts w:cs="Arial"/>
          <w:b/>
          <w:sz w:val="24"/>
          <w:szCs w:val="24"/>
        </w:rPr>
        <w:t xml:space="preserve">The Landlord must give the Tenant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5F455415" w:rsidR="001B02DC" w:rsidRPr="002B1B30" w:rsidRDefault="001B02DC" w:rsidP="001B02DC">
      <w:pPr>
        <w:rPr>
          <w:rFonts w:cs="Arial"/>
          <w:b/>
          <w:sz w:val="24"/>
          <w:szCs w:val="24"/>
        </w:rPr>
      </w:pPr>
      <w:r w:rsidRPr="002B1B30">
        <w:rPr>
          <w:rFonts w:cs="Arial"/>
          <w:b/>
          <w:sz w:val="24"/>
          <w:szCs w:val="24"/>
        </w:rPr>
        <w:t xml:space="preserve">The Landlord must give the Tenant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23EDC83D" w:rsidR="001B02DC"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74277EF5" w14:textId="77777777" w:rsidR="00AA164E" w:rsidRPr="002B1B30" w:rsidRDefault="00AA164E" w:rsidP="001B02DC">
      <w:pPr>
        <w:rPr>
          <w:rFonts w:cs="Arial"/>
          <w:b/>
          <w:sz w:val="24"/>
          <w:szCs w:val="24"/>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lastRenderedPageBreak/>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 xml:space="preserve">Private residential tenancies are not subject to the Requirements of Writing (Scotland) Act 1995, so this Agreement can be ‘signed’ by the Tenant(s) and Landlord(s) typing </w:t>
      </w:r>
      <w:r w:rsidRPr="002B1B30">
        <w:rPr>
          <w:rFonts w:cs="Arial"/>
          <w:sz w:val="24"/>
          <w:szCs w:val="24"/>
        </w:rPr>
        <w:lastRenderedPageBreak/>
        <w:t>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77777777"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77777777"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t>
      </w:r>
      <w:proofErr w:type="gramStart"/>
      <w:r>
        <w:rPr>
          <w:sz w:val="24"/>
          <w:szCs w:val="24"/>
        </w:rPr>
        <w:t xml:space="preserve">writing </w:t>
      </w:r>
      <w:r w:rsidRPr="00F65875">
        <w:rPr>
          <w:sz w:val="24"/>
          <w:szCs w:val="24"/>
        </w:rPr>
        <w:t xml:space="preserve"> and</w:t>
      </w:r>
      <w:proofErr w:type="gramEnd"/>
      <w:r w:rsidRPr="00F65875">
        <w:rPr>
          <w:sz w:val="24"/>
          <w:szCs w:val="24"/>
        </w:rPr>
        <w:t xml:space="preserve">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w:t>
      </w:r>
      <w:bookmarkStart w:id="50" w:name="_GoBack"/>
      <w:bookmarkEnd w:id="50"/>
      <w:r w:rsidRPr="00F65875">
        <w:rPr>
          <w:sz w:val="24"/>
          <w:szCs w:val="24"/>
        </w:rPr>
        <w:t xml:space="preserve">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4A6861"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4A6861"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1" w:name="_Ref487097927"/>
      <w:r w:rsidRPr="00865934">
        <w:rPr>
          <w:rFonts w:cs="Arial"/>
          <w:b/>
        </w:rPr>
        <w:t>Reasonable Care</w:t>
      </w:r>
      <w:bookmarkEnd w:id="51"/>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52" w:name="_Ref487096232"/>
      <w:r w:rsidRPr="002B1B30">
        <w:rPr>
          <w:rFonts w:cs="Arial"/>
        </w:rPr>
        <w:t>Gas Safety</w:t>
      </w:r>
      <w:bookmarkEnd w:id="52"/>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53" w:name="_Ref487096251"/>
      <w:r w:rsidRPr="002B1B30">
        <w:rPr>
          <w:rFonts w:cs="Arial"/>
        </w:rPr>
        <w:t>Electrical Safety</w:t>
      </w:r>
      <w:bookmarkEnd w:id="53"/>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54" w:name="_Ref487096274"/>
      <w:r w:rsidRPr="002B1B30">
        <w:rPr>
          <w:rFonts w:cs="Arial"/>
        </w:rPr>
        <w:t>Energy Performance Certificate</w:t>
      </w:r>
      <w:bookmarkEnd w:id="54"/>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 xml:space="preserve">If the tenant gives the notice to the landlord by </w:t>
      </w:r>
      <w:proofErr w:type="gramStart"/>
      <w:r w:rsidRPr="00135A8B">
        <w:rPr>
          <w:rFonts w:cs="Arial"/>
          <w:sz w:val="24"/>
          <w:szCs w:val="24"/>
        </w:rPr>
        <w:t>hand  (</w:t>
      </w:r>
      <w:proofErr w:type="gramEnd"/>
      <w:r w:rsidRPr="00135A8B">
        <w:rPr>
          <w:rFonts w:cs="Arial"/>
          <w:sz w:val="24"/>
          <w:szCs w:val="24"/>
        </w:rPr>
        <w:t>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3AA0F54C"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w:t>
      </w:r>
      <w:r w:rsidR="00FC5FA7">
        <w:rPr>
          <w:rFonts w:cs="Arial"/>
          <w:sz w:val="24"/>
          <w:szCs w:val="24"/>
          <w:lang w:val="en"/>
        </w:rPr>
        <w:t>The tenant does not</w:t>
      </w:r>
      <w:r w:rsidRPr="002B1B30">
        <w:rPr>
          <w:rFonts w:cs="Arial"/>
          <w:sz w:val="24"/>
          <w:szCs w:val="24"/>
          <w:lang w:val="en"/>
        </w:rPr>
        <w:t xml:space="preserve">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2233E865"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3C6727E9" w:rsidR="00097BB2" w:rsidRPr="002B1B30" w:rsidRDefault="00097BB2" w:rsidP="00097BB2">
      <w:pPr>
        <w:pStyle w:val="BodyText2"/>
        <w:ind w:left="709"/>
        <w:jc w:val="left"/>
        <w:rPr>
          <w:rFonts w:cs="Arial"/>
          <w:sz w:val="24"/>
          <w:szCs w:val="24"/>
        </w:rPr>
      </w:pPr>
      <w:r w:rsidRPr="002B1B30">
        <w:rPr>
          <w:rFonts w:cs="Arial"/>
          <w:b/>
          <w:sz w:val="24"/>
          <w:szCs w:val="24"/>
        </w:rPr>
        <w:t>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1B186D7A"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84 days' (or 12 weeks) notice.</w:t>
      </w:r>
      <w:r w:rsidRPr="002B1B30">
        <w:rPr>
          <w:rFonts w:cs="Arial"/>
          <w:sz w:val="24"/>
          <w:szCs w:val="24"/>
        </w:rPr>
        <w:t xml:space="preserve">  </w:t>
      </w:r>
    </w:p>
    <w:p w14:paraId="68B184D6" w14:textId="64F08BDA" w:rsidR="00097BB2" w:rsidRPr="002B1B30" w:rsidRDefault="00097BB2" w:rsidP="00097BB2">
      <w:pPr>
        <w:pStyle w:val="BodyText2"/>
        <w:ind w:left="709"/>
        <w:jc w:val="left"/>
        <w:rPr>
          <w:rFonts w:cs="Arial"/>
          <w:sz w:val="24"/>
          <w:szCs w:val="24"/>
        </w:rPr>
      </w:pPr>
      <w:r w:rsidRPr="002B1B30">
        <w:rPr>
          <w:rFonts w:cs="Arial"/>
          <w:b/>
          <w:sz w:val="24"/>
          <w:szCs w:val="24"/>
        </w:rPr>
        <w:t>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lastRenderedPageBreak/>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55" w:name="_Ref487018414"/>
      <w:r w:rsidRPr="002B1B30">
        <w:rPr>
          <w:rFonts w:cs="Arial"/>
          <w:b/>
          <w:sz w:val="24"/>
          <w:szCs w:val="24"/>
        </w:rPr>
        <w:t>Unlawful Eviction</w:t>
      </w:r>
      <w:bookmarkEnd w:id="55"/>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w:t>
      </w:r>
      <w:r w:rsidRPr="002B1B30">
        <w:rPr>
          <w:rFonts w:cs="Arial"/>
          <w:sz w:val="24"/>
          <w:szCs w:val="24"/>
        </w:rPr>
        <w:lastRenderedPageBreak/>
        <w:t xml:space="preserve">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lastRenderedPageBreak/>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4A6861"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4A6861"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4A6861"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4A6861"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4A6861"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4A6861"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4A6861"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4A6861"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4A6861"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4A6861"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4A6861"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4A6861"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4A6861"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4A6861"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4A6861"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4A6861"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4A6861"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4A6861"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4A6861"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4A6861"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4A6861"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4A6861"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4A6861"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4A6861"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4A6861"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4A6861"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4A6861"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4A6861"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4A6861"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4A6861"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4A6861"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4A6861"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4A6861"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4A6861"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4A6861"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A839" w14:textId="77777777" w:rsidR="004A6861" w:rsidRDefault="004A6861">
      <w:r>
        <w:separator/>
      </w:r>
    </w:p>
  </w:endnote>
  <w:endnote w:type="continuationSeparator" w:id="0">
    <w:p w14:paraId="302FE664" w14:textId="77777777" w:rsidR="004A6861" w:rsidRDefault="004A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C706D4" w:rsidRPr="00481B86" w:rsidRDefault="00C706D4" w:rsidP="00CE0C3B">
    <w:pPr>
      <w:pStyle w:val="Footer"/>
      <w:rPr>
        <w:u w:val="single"/>
      </w:rPr>
    </w:pPr>
    <w:proofErr w:type="gramStart"/>
    <w:r>
      <w:rPr>
        <w:u w:val="single"/>
      </w:rPr>
      <w:t>Key:-</w:t>
    </w:r>
    <w:proofErr w:type="gramEnd"/>
  </w:p>
  <w:p w14:paraId="72793673" w14:textId="77777777" w:rsidR="00C706D4" w:rsidRDefault="00C706D4" w:rsidP="00CE0C3B">
    <w:pPr>
      <w:pStyle w:val="Footer"/>
    </w:pPr>
    <w:r w:rsidRPr="00DA6622">
      <w:rPr>
        <w:b/>
      </w:rPr>
      <w:t>Bold Text</w:t>
    </w:r>
    <w:r>
      <w:rPr>
        <w:b/>
      </w:rPr>
      <w:t xml:space="preserve">: </w:t>
    </w:r>
    <w:r>
      <w:t xml:space="preserve">Mandatory clauses - core rights and obligations </w:t>
    </w:r>
  </w:p>
  <w:p w14:paraId="2F2AE166" w14:textId="77777777" w:rsidR="00C706D4" w:rsidRDefault="00C706D4"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C706D4" w:rsidRDefault="00C706D4">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C706D4" w:rsidRDefault="00C70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C706D4" w:rsidRPr="00EE1575" w:rsidRDefault="00C706D4" w:rsidP="00AD57E9">
    <w:pPr>
      <w:pStyle w:val="Footer"/>
      <w:rPr>
        <w:u w:val="single"/>
      </w:rPr>
    </w:pPr>
    <w:proofErr w:type="gramStart"/>
    <w:r w:rsidRPr="00EE1575">
      <w:rPr>
        <w:u w:val="single"/>
      </w:rPr>
      <w:t>Key:-</w:t>
    </w:r>
    <w:proofErr w:type="gramEnd"/>
  </w:p>
  <w:p w14:paraId="055816DE" w14:textId="77777777" w:rsidR="00C706D4" w:rsidRPr="00EE1575" w:rsidRDefault="00C706D4" w:rsidP="00AD57E9">
    <w:pPr>
      <w:pStyle w:val="Footer"/>
    </w:pPr>
    <w:r w:rsidRPr="00EE1575">
      <w:rPr>
        <w:b/>
      </w:rPr>
      <w:t xml:space="preserve">Bold Text: </w:t>
    </w:r>
    <w:r w:rsidRPr="00EE1575">
      <w:t xml:space="preserve">Mandatory clauses - core rights and obligations </w:t>
    </w:r>
  </w:p>
  <w:p w14:paraId="1F71E3D8" w14:textId="77777777" w:rsidR="00C706D4" w:rsidRPr="00EE1575" w:rsidRDefault="00C706D4"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C706D4" w:rsidRDefault="00C706D4">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C706D4" w:rsidRDefault="00C7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3F15A" w14:textId="77777777" w:rsidR="004A6861" w:rsidRDefault="004A6861">
      <w:r>
        <w:separator/>
      </w:r>
    </w:p>
  </w:footnote>
  <w:footnote w:type="continuationSeparator" w:id="0">
    <w:p w14:paraId="5D978195" w14:textId="77777777" w:rsidR="004A6861" w:rsidRDefault="004A6861">
      <w:r>
        <w:continuationSeparator/>
      </w:r>
    </w:p>
  </w:footnote>
  <w:footnote w:id="1">
    <w:p w14:paraId="012AF55A" w14:textId="0F76DD54" w:rsidR="00C706D4" w:rsidRDefault="00C706D4"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C706D4" w:rsidRDefault="00C706D4"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6"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0"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8"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3"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46"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8"/>
  </w:num>
  <w:num w:numId="4">
    <w:abstractNumId w:val="44"/>
  </w:num>
  <w:num w:numId="5">
    <w:abstractNumId w:val="34"/>
  </w:num>
  <w:num w:numId="6">
    <w:abstractNumId w:val="7"/>
  </w:num>
  <w:num w:numId="7">
    <w:abstractNumId w:val="28"/>
  </w:num>
  <w:num w:numId="8">
    <w:abstractNumId w:val="32"/>
    <w:lvlOverride w:ilvl="0">
      <w:startOverride w:val="1"/>
    </w:lvlOverride>
  </w:num>
  <w:num w:numId="9">
    <w:abstractNumId w:val="20"/>
  </w:num>
  <w:num w:numId="10">
    <w:abstractNumId w:val="12"/>
  </w:num>
  <w:num w:numId="11">
    <w:abstractNumId w:val="23"/>
  </w:num>
  <w:num w:numId="12">
    <w:abstractNumId w:val="16"/>
  </w:num>
  <w:num w:numId="13">
    <w:abstractNumId w:val="6"/>
  </w:num>
  <w:num w:numId="14">
    <w:abstractNumId w:val="40"/>
  </w:num>
  <w:num w:numId="15">
    <w:abstractNumId w:val="39"/>
  </w:num>
  <w:num w:numId="16">
    <w:abstractNumId w:val="9"/>
  </w:num>
  <w:num w:numId="17">
    <w:abstractNumId w:val="30"/>
  </w:num>
  <w:num w:numId="18">
    <w:abstractNumId w:val="35"/>
  </w:num>
  <w:num w:numId="19">
    <w:abstractNumId w:val="14"/>
  </w:num>
  <w:num w:numId="20">
    <w:abstractNumId w:val="26"/>
  </w:num>
  <w:num w:numId="21">
    <w:abstractNumId w:val="13"/>
  </w:num>
  <w:num w:numId="22">
    <w:abstractNumId w:val="21"/>
  </w:num>
  <w:num w:numId="23">
    <w:abstractNumId w:val="37"/>
  </w:num>
  <w:num w:numId="24">
    <w:abstractNumId w:val="3"/>
  </w:num>
  <w:num w:numId="25">
    <w:abstractNumId w:val="45"/>
  </w:num>
  <w:num w:numId="26">
    <w:abstractNumId w:val="41"/>
  </w:num>
  <w:num w:numId="27">
    <w:abstractNumId w:val="36"/>
  </w:num>
  <w:num w:numId="28">
    <w:abstractNumId w:val="19"/>
  </w:num>
  <w:num w:numId="29">
    <w:abstractNumId w:val="31"/>
  </w:num>
  <w:num w:numId="30">
    <w:abstractNumId w:val="43"/>
  </w:num>
  <w:num w:numId="31">
    <w:abstractNumId w:val="27"/>
  </w:num>
  <w:num w:numId="32">
    <w:abstractNumId w:val="38"/>
  </w:num>
  <w:num w:numId="33">
    <w:abstractNumId w:val="29"/>
  </w:num>
  <w:num w:numId="34">
    <w:abstractNumId w:val="18"/>
  </w:num>
  <w:num w:numId="35">
    <w:abstractNumId w:val="11"/>
  </w:num>
  <w:num w:numId="36">
    <w:abstractNumId w:val="22"/>
  </w:num>
  <w:num w:numId="37">
    <w:abstractNumId w:val="10"/>
  </w:num>
  <w:num w:numId="38">
    <w:abstractNumId w:val="25"/>
  </w:num>
  <w:num w:numId="39">
    <w:abstractNumId w:val="24"/>
  </w:num>
  <w:num w:numId="40">
    <w:abstractNumId w:val="4"/>
  </w:num>
  <w:num w:numId="41">
    <w:abstractNumId w:val="0"/>
  </w:num>
  <w:num w:numId="42">
    <w:abstractNumId w:val="2"/>
  </w:num>
  <w:num w:numId="43">
    <w:abstractNumId w:val="1"/>
  </w:num>
  <w:num w:numId="44">
    <w:abstractNumId w:val="42"/>
  </w:num>
  <w:num w:numId="45">
    <w:abstractNumId w:val="46"/>
  </w:num>
  <w:num w:numId="46">
    <w:abstractNumId w:val="33"/>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2165A-65DE-3847-BDB3-5D289BF4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22417</Words>
  <Characters>127777</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149895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2020-02-18T12:29:00Z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