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2F598361"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the duration of the emergency COVID-19 procedures (until </w:t>
      </w:r>
      <w:r w:rsidR="00AE13C1">
        <w:rPr>
          <w:rFonts w:cs="Arial"/>
          <w:b/>
          <w:sz w:val="28"/>
          <w:szCs w:val="28"/>
        </w:rPr>
        <w:t xml:space="preserve">7 </w:t>
      </w:r>
      <w:r w:rsidRPr="00FF4D78">
        <w:rPr>
          <w:rFonts w:cs="Arial"/>
          <w:b/>
          <w:sz w:val="28"/>
          <w:szCs w:val="28"/>
        </w:rPr>
        <w:t>October 2020 unless extended)</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74E6D31E"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(3 months)</w:t>
      </w:r>
    </w:p>
    <w:p w14:paraId="49EC64B3" w14:textId="295404A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0CDFF9D4" w14:textId="00C63613"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(3 months)</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48504D52" w14:textId="09DB4835" w:rsidR="001B49D0" w:rsidRDefault="001B49D0"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 place</w:t>
      </w:r>
      <w:r w:rsidRPr="00FF4D78">
        <w:rPr>
          <w:rFonts w:cs="Arial"/>
          <w:b/>
          <w:sz w:val="28"/>
          <w:szCs w:val="28"/>
        </w:rPr>
        <w:t xml:space="preserve"> for the duration of the emergency COVID-19 procedures (until </w:t>
      </w:r>
      <w:r w:rsidR="00AE13C1">
        <w:rPr>
          <w:rFonts w:cs="Arial"/>
          <w:b/>
          <w:sz w:val="28"/>
          <w:szCs w:val="28"/>
        </w:rPr>
        <w:t xml:space="preserve">7 </w:t>
      </w:r>
      <w:r w:rsidRPr="00FF4D78">
        <w:rPr>
          <w:rFonts w:cs="Arial"/>
          <w:b/>
          <w:sz w:val="28"/>
          <w:szCs w:val="28"/>
        </w:rPr>
        <w:t>October 2020 unless extended)</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1CD889A4" w14:textId="52B1A021"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3A251113" w14:textId="06A0C714"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3B0CDE18" w14:textId="2392DDA8"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7A76E7C6" w14:textId="54AC8F0D" w:rsidR="00C42C8E" w:rsidRDefault="00C42C8E" w:rsidP="00C42C8E">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w:t>
      </w:r>
      <w:r w:rsidRPr="00FF4D78">
        <w:rPr>
          <w:rFonts w:cs="Arial"/>
          <w:b/>
          <w:sz w:val="28"/>
          <w:szCs w:val="28"/>
        </w:rPr>
        <w:t xml:space="preserve"> place for the duration of the emergency COVID-19 procedures (until </w:t>
      </w:r>
      <w:r w:rsidR="00576C47">
        <w:rPr>
          <w:rFonts w:cs="Arial"/>
          <w:b/>
          <w:sz w:val="28"/>
          <w:szCs w:val="28"/>
        </w:rPr>
        <w:t xml:space="preserve">7 </w:t>
      </w:r>
      <w:bookmarkStart w:id="0" w:name="_GoBack"/>
      <w:bookmarkEnd w:id="0"/>
      <w:r w:rsidRPr="00FF4D78">
        <w:rPr>
          <w:rFonts w:cs="Arial"/>
          <w:b/>
          <w:sz w:val="28"/>
          <w:szCs w:val="28"/>
        </w:rPr>
        <w:t>October 2020 unless extended)</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009FE3F8" w14:textId="0298522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w:t>
      </w:r>
      <w:r w:rsidRPr="001B0076">
        <w:rPr>
          <w:rFonts w:cs="Arial"/>
          <w:sz w:val="22"/>
          <w:szCs w:val="22"/>
        </w:rPr>
        <w:t xml:space="preserve"> ha</w:t>
      </w:r>
      <w:r w:rsidR="008E6D40">
        <w:rPr>
          <w:rFonts w:cs="Arial"/>
          <w:sz w:val="22"/>
          <w:szCs w:val="22"/>
        </w:rPr>
        <w:t>s</w:t>
      </w:r>
      <w:r w:rsidRPr="001B0076">
        <w:rPr>
          <w:rFonts w:cs="Arial"/>
          <w:sz w:val="22"/>
          <w:szCs w:val="22"/>
        </w:rPr>
        <w:t xml:space="preserve"> a relevant criminal conviction </w:t>
      </w:r>
    </w:p>
    <w:p w14:paraId="10F95566" w14:textId="6A6CD4EF"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engaged in relevant antisocial behaviour </w:t>
      </w:r>
    </w:p>
    <w:p w14:paraId="484DD54A" w14:textId="6CD86EE5"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lastRenderedPageBreak/>
        <w:t>Ground that requires 28 days’ notice</w:t>
      </w:r>
    </w:p>
    <w:p w14:paraId="0EF8FB0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6 </w:t>
      </w:r>
      <w:proofErr w:type="gramStart"/>
      <w:r w:rsidRPr="00B30EE4">
        <w:rPr>
          <w:rFonts w:cs="Arial"/>
          <w:sz w:val="22"/>
          <w:szCs w:val="22"/>
        </w:rPr>
        <w:t>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13 September. Another example is, if you are required to give your </w:t>
      </w:r>
      <w:r w:rsidRPr="00B30EE4">
        <w:rPr>
          <w:rFonts w:cs="Arial"/>
          <w:sz w:val="22"/>
          <w:szCs w:val="22"/>
        </w:rPr>
        <w:lastRenderedPageBreak/>
        <w:t xml:space="preserve">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1FCA3" w14:textId="77777777" w:rsidR="00801CFE" w:rsidRDefault="00801CFE">
      <w:pPr>
        <w:spacing w:line="240" w:lineRule="auto"/>
      </w:pPr>
      <w:r>
        <w:separator/>
      </w:r>
    </w:p>
  </w:endnote>
  <w:endnote w:type="continuationSeparator" w:id="0">
    <w:p w14:paraId="5858CBDD" w14:textId="77777777" w:rsidR="00801CFE" w:rsidRDefault="00801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571DE" w14:textId="77777777" w:rsidR="00801CFE" w:rsidRDefault="00801CFE">
      <w:pPr>
        <w:spacing w:line="240" w:lineRule="auto"/>
      </w:pPr>
      <w:r>
        <w:separator/>
      </w:r>
    </w:p>
  </w:footnote>
  <w:footnote w:type="continuationSeparator" w:id="0">
    <w:p w14:paraId="26D72615" w14:textId="77777777" w:rsidR="00801CFE" w:rsidRDefault="00801CFE">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C06DD"/>
    <w:rsid w:val="009C3B2D"/>
    <w:rsid w:val="009D1E27"/>
    <w:rsid w:val="009E4436"/>
    <w:rsid w:val="009E654D"/>
    <w:rsid w:val="009F2BFD"/>
    <w:rsid w:val="009F71B8"/>
    <w:rsid w:val="00A01EF8"/>
    <w:rsid w:val="00A21184"/>
    <w:rsid w:val="00A24525"/>
    <w:rsid w:val="00A27F26"/>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3.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C81925-7801-7047-B1A3-7A0FE1F7E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13</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57</cp:revision>
  <cp:lastPrinted>2017-04-05T10:26:00Z</cp:lastPrinted>
  <dcterms:created xsi:type="dcterms:W3CDTF">2017-11-14T16:40:00Z</dcterms:created>
  <dcterms:modified xsi:type="dcterms:W3CDTF">2020-04-06T10:45:00Z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