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B672A2">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B672A2">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B672A2">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B672A2">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This notice informs you, as a Tenant, that your Landlord wants to increase the rent for your private residential tenancy. The new rent will start from the date shown in Part 2 of this notice unless you take one of the  following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B672A2" w:rsidP="004F77A3">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366614A2" w:rsidR="006F19FE" w:rsidRDefault="00B672A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r>
        <w:fldChar w:fldCharType="begin"/>
      </w:r>
      <w:r>
        <w:instrText xml:space="preserve"> MERGEFIELD address \* MERGEFORMAT </w:instrText>
      </w:r>
      <w:r>
        <w:fldChar w:fldCharType="separate"/>
      </w:r>
      <w:r w:rsidR="00570160">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B672A2" w:rsidP="005A5BA4">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B672A2" w:rsidP="005A5BA4">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B672A2" w:rsidP="005A5BA4">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B672A2">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B672A2">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B672A2">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B672A2">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B672A2">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B672A2">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B672A2">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B672A2">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10E6E168" w:rsidR="006F3D3E" w:rsidRPr="00602C6C" w:rsidRDefault="00602C6C"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w:rPr>
              <w:rFonts w:ascii="Cambria Math" w:hAnsi="Cambria Math"/>
              <w:sz w:val="32"/>
              <w:szCs w:val="32"/>
            </w:rPr>
            <m:t xml:space="preserve"> MERGEFIELD calcR \* MERGEFORMAT </m:t>
          </m:r>
          <m:r>
            <w:rPr>
              <w:rFonts w:ascii="Cambria Math" w:hAnsi="Cambria Math"/>
              <w:i/>
              <w:sz w:val="32"/>
              <w:szCs w:val="32"/>
            </w:rPr>
            <w:fldChar w:fldCharType="separate"/>
          </m:r>
          <m:r>
            <w:rPr>
              <w:rFonts w:ascii="Cambria Math" w:hAnsi="Cambria Math"/>
              <w:noProof/>
              <w:sz w:val="32"/>
              <w:szCs w:val="32"/>
            </w:rPr>
            <m:t>«calcR»</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m:t>
              </m:r>
              <m:r>
                <w:rPr>
                  <w:rFonts w:ascii="Cambria Math" w:hAnsi="Cambria Math"/>
                  <w:sz w:val="32"/>
                  <w:szCs w:val="32"/>
                </w:rPr>
                <m:t xml:space="preserve">1+ </m:t>
              </m:r>
              <m:f>
                <m:fPr>
                  <m:ctrlPr>
                    <w:rPr>
                      <w:rFonts w:ascii="Cambria Math" w:hAnsi="Cambria Math"/>
                      <w:i/>
                      <w:sz w:val="32"/>
                      <w:szCs w:val="32"/>
                    </w:rPr>
                  </m:ctrlPr>
                </m:fPr>
                <m:num>
                  <m:r>
                    <w:rPr>
                      <w:rFonts w:ascii="Cambria Math" w:hAnsi="Cambria Math"/>
                      <w:i/>
                      <w:sz w:val="32"/>
                      <w:szCs w:val="32"/>
                    </w:rPr>
                    <w:fldChar w:fldCharType="begin"/>
                  </m:r>
                  <m:r>
                    <w:rPr>
                      <w:rFonts w:ascii="Cambria Math" w:hAnsi="Cambria Math"/>
                      <w:sz w:val="32"/>
                      <w:szCs w:val="32"/>
                    </w:rPr>
                    <m:t xml:space="preserve"> MERGEFIELD calcCPI \* MERGEFORMAT </m:t>
                  </m:r>
                  <m:r>
                    <w:rPr>
                      <w:rFonts w:ascii="Cambria Math" w:hAnsi="Cambria Math"/>
                      <w:i/>
                      <w:sz w:val="32"/>
                      <w:szCs w:val="32"/>
                    </w:rPr>
                    <w:fldChar w:fldCharType="separate"/>
                  </m:r>
                  <m: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w:rPr>
                      <w:rFonts w:ascii="Cambria Math" w:hAnsi="Cambria Math"/>
                      <w:sz w:val="32"/>
                      <w:szCs w:val="32"/>
                    </w:rPr>
                    <m:t xml:space="preserve"> MERGEFIELD calcX \* MERGEFORMAT </m:t>
                  </m:r>
                  <m:r>
                    <w:rPr>
                      <w:rFonts w:ascii="Cambria Math" w:hAnsi="Cambria Math"/>
                      <w:i/>
                      <w:sz w:val="32"/>
                      <w:szCs w:val="32"/>
                    </w:rPr>
                    <w:fldChar w:fldCharType="separate"/>
                  </m:r>
                  <m: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m:t>
          </m:r>
          <m:r>
            <w:rPr>
              <w:rFonts w:ascii="Cambria Math" w:hAnsi="Cambria Math"/>
              <w:sz w:val="32"/>
              <w:szCs w:val="32"/>
            </w:rPr>
            <m:t xml:space="preserve"> </m:t>
          </m:r>
          <m:r>
            <w:rPr>
              <w:rFonts w:ascii="Cambria Math" w:hAnsi="Cambria Math"/>
              <w:i/>
              <w:sz w:val="32"/>
              <w:szCs w:val="32"/>
            </w:rPr>
            <w:fldChar w:fldCharType="begin"/>
          </m:r>
          <m:r>
            <w:rPr>
              <w:rFonts w:ascii="Cambria Math" w:hAnsi="Cambria Math"/>
              <w:sz w:val="32"/>
              <w:szCs w:val="32"/>
            </w:rPr>
            <m:t xml:space="preserve"> MERGEFIELD calcY \* MERGEFORMAT </m:t>
          </m:r>
          <m:r>
            <w:rPr>
              <w:rFonts w:ascii="Cambria Math" w:hAnsi="Cambria Math"/>
              <w:i/>
              <w:sz w:val="32"/>
              <w:szCs w:val="32"/>
            </w:rPr>
            <w:fldChar w:fldCharType="separate"/>
          </m:r>
          <m: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w:rPr>
              <w:rFonts w:ascii="Cambria Math" w:hAnsi="Cambria Math"/>
              <w:sz w:val="32"/>
              <w:szCs w:val="32"/>
            </w:rPr>
            <m:t xml:space="preserve"> MERGEFIELD newRentAmount \* MERGEFORMAT </m:t>
          </m:r>
          <m:r>
            <w:rPr>
              <w:rFonts w:ascii="Cambria Math" w:hAnsi="Cambria Math"/>
              <w:i/>
              <w:sz w:val="32"/>
              <w:szCs w:val="32"/>
            </w:rPr>
            <w:fldChar w:fldCharType="separate"/>
          </m:r>
          <m: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w:rPr>
              <w:rFonts w:ascii="Cambria Math" w:hAnsi="Cambria Math"/>
              <w:sz w:val="32"/>
              <w:szCs w:val="32"/>
            </w:rPr>
            <m:t xml:space="preserve"> MERGEFIELD newRentPeriod \* MERGEFORMAT </m:t>
          </m:r>
          <m:r>
            <w:rPr>
              <w:rFonts w:ascii="Cambria Math" w:hAnsi="Cambria Math"/>
              <w:i/>
              <w:sz w:val="32"/>
              <w:szCs w:val="32"/>
            </w:rPr>
            <w:fldChar w:fldCharType="separate"/>
          </m:r>
          <m: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B672A2" w:rsidP="001C2062">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B672A2" w:rsidP="001C2062">
      <w:r>
        <w:fldChar w:fldCharType="begin"/>
      </w:r>
      <w:r>
        <w:instrText xml:space="preserve"> MERGEFIELD tenantNames \* MERGEFORMAT </w:instrText>
      </w:r>
      <w:r>
        <w:fldChar w:fldCharType="separate"/>
      </w:r>
      <w:r w:rsidR="003851B4" w:rsidRPr="001C2062">
        <w:t>«tenantNames»</w:t>
      </w:r>
      <w:r>
        <w:fldChar w:fldCharType="end"/>
      </w:r>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B672A2" w:rsidP="001C2062">
      <w:r>
        <w:fldChar w:fldCharType="begin"/>
      </w:r>
      <w:r>
        <w:instrText xml:space="preserve"> MERGEFIELD tenantAddresses \* MERGEFORMAT </w:instrText>
      </w:r>
      <w:r>
        <w:fldChar w:fldCharType="separate"/>
      </w:r>
      <w:r w:rsidR="003851B4" w:rsidRPr="001C2062">
        <w:t>«tenantAddresses»</w:t>
      </w:r>
      <w:r>
        <w:fldChar w:fldCharType="end"/>
      </w:r>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28878BB5"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Pr>
          <w:rFonts w:cs="Arial"/>
          <w:color w:val="000000"/>
          <w:szCs w:val="24"/>
          <w:lang w:val="en" w:eastAsia="en-GB"/>
        </w:rPr>
        <w:fldChar w:fldCharType="begin"/>
      </w:r>
      <w:r>
        <w:rPr>
          <w:rFonts w:cs="Arial"/>
          <w:color w:val="000000"/>
          <w:szCs w:val="24"/>
          <w:lang w:val="en" w:eastAsia="en-GB"/>
        </w:rPr>
        <w:instrText xml:space="preserve"> MERGEFIELD rentIncreaseDate \* MERGEFORMAT </w:instrText>
      </w:r>
      <w:r>
        <w:rPr>
          <w:rFonts w:cs="Arial"/>
          <w:color w:val="000000"/>
          <w:szCs w:val="24"/>
          <w:lang w:val="en" w:eastAsia="en-GB"/>
        </w:rPr>
        <w:fldChar w:fldCharType="separate"/>
      </w:r>
      <w:r>
        <w:rPr>
          <w:rFonts w:cs="Arial"/>
          <w:noProof/>
          <w:color w:val="000000"/>
          <w:szCs w:val="24"/>
          <w:lang w:val="en" w:eastAsia="en-GB"/>
        </w:rPr>
        <w:t>«rentIncreaseDate»</w:t>
      </w:r>
      <w:r>
        <w:rPr>
          <w:rFonts w:cs="Arial"/>
          <w:color w:val="000000"/>
          <w:szCs w:val="24"/>
          <w:lang w:val="en" w:eastAsia="en-GB"/>
        </w:rPr>
        <w:fldChar w:fldCharType="end"/>
      </w:r>
      <w:r>
        <w:rPr>
          <w:rFonts w:cs="Arial"/>
          <w:color w:val="000000"/>
          <w:szCs w:val="24"/>
          <w:shd w:val="clear" w:color="auto" w:fill="F2F2F2" w:themeFill="background1" w:themeFillShade="F2"/>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lastRenderedPageBreak/>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t>
              </w:r>
              <w:r w:rsidRPr="008A5DA0">
                <w:rPr>
                  <w:rStyle w:val="Hyperlink"/>
                  <w:rFonts w:ascii="Arial" w:hAnsi="Arial" w:cs="Arial"/>
                </w:rPr>
                <w:t>w</w:t>
              </w:r>
              <w:r w:rsidRPr="008A5DA0">
                <w:rPr>
                  <w:rStyle w:val="Hyperlink"/>
                  <w:rFonts w:ascii="Arial" w:hAnsi="Arial" w:cs="Arial"/>
                </w:rPr>
                <w:t>.mygov.scot/rent-pressure-zone-checker/</w:t>
              </w:r>
            </w:hyperlink>
            <w:r w:rsidRPr="008A5DA0">
              <w:rPr>
                <w:rFonts w:ascii="Arial" w:hAnsi="Arial" w:cs="Arial"/>
              </w:rPr>
              <w:t>)</w:t>
            </w:r>
            <w:r w:rsidRPr="008A5DA0">
              <w:rPr>
                <w:rFonts w:ascii="Arial" w:hAnsi="Arial" w:cs="Arial"/>
              </w:rPr>
              <w:t/>
            </w:r>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For example, if you received a rent increase notice on 15 January, the 3 months’ notice period would end on 15 April. So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rss.dundee@gov.scot),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bookmarkStart w:id="0" w:name="_GoBack"/>
      <w:bookmarkEnd w:id="0"/>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964F1" w14:textId="77777777" w:rsidR="00B672A2" w:rsidRDefault="00B672A2">
      <w:pPr>
        <w:spacing w:line="240" w:lineRule="auto"/>
      </w:pPr>
      <w:r>
        <w:separator/>
      </w:r>
    </w:p>
  </w:endnote>
  <w:endnote w:type="continuationSeparator" w:id="0">
    <w:p w14:paraId="63D8E7B2" w14:textId="77777777" w:rsidR="00B672A2" w:rsidRDefault="00B67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565C5" w14:textId="77777777" w:rsidR="00B672A2" w:rsidRDefault="00B672A2">
      <w:pPr>
        <w:spacing w:line="240" w:lineRule="auto"/>
      </w:pPr>
      <w:r>
        <w:separator/>
      </w:r>
    </w:p>
  </w:footnote>
  <w:footnote w:type="continuationSeparator" w:id="0">
    <w:p w14:paraId="4DBC1A8F" w14:textId="77777777" w:rsidR="00B672A2" w:rsidRDefault="00B672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pStyle w:val="Banner"/>
      <w:suff w:val="nothing"/>
      <w:lvlText w:val="%1."/>
      <w:lvlJc w:val="left"/>
      <w:pPr>
        <w:tabs>
          <w:tab w:val="num" w:pos="360"/>
        </w:tabs>
        <w:ind w:left="0" w:firstLine="170"/>
      </w:pPr>
      <w:rPr>
        <w:b/>
      </w:rPr>
    </w:lvl>
    <w:lvl w:ilvl="1">
      <w:start w:val="1"/>
      <w:numFmt w:val="decimal"/>
      <w:pStyle w:val="subject"/>
      <w:suff w:val="space"/>
      <w:lvlText w:val="(%2)"/>
      <w:lvlJc w:val="left"/>
      <w:pPr>
        <w:tabs>
          <w:tab w:val="num" w:pos="720"/>
        </w:tabs>
        <w:ind w:left="0" w:firstLine="170"/>
      </w:pPr>
    </w:lvl>
    <w:lvl w:ilvl="2">
      <w:start w:val="1"/>
      <w:numFmt w:val="lowerLetter"/>
      <w:pStyle w:val="Caption"/>
      <w:lvlText w:val="(%3)"/>
      <w:lvlJc w:val="left"/>
      <w:pPr>
        <w:tabs>
          <w:tab w:val="num" w:pos="737"/>
        </w:tabs>
        <w:ind w:left="737" w:hanging="397"/>
      </w:pPr>
    </w:lvl>
    <w:lvl w:ilvl="3">
      <w:start w:val="1"/>
      <w:numFmt w:val="lowerRoman"/>
      <w:pStyle w:val="LQSublist1Cont"/>
      <w:lvlText w:val="(%4)"/>
      <w:lvlJc w:val="right"/>
      <w:pPr>
        <w:tabs>
          <w:tab w:val="num" w:pos="1134"/>
        </w:tabs>
        <w:ind w:left="1134" w:hanging="113"/>
      </w:pPr>
    </w:lvl>
    <w:lvl w:ilvl="4">
      <w:start w:val="1"/>
      <w:numFmt w:val="lowerLetter"/>
      <w:pStyle w:val="LQsubPartHead"/>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56C6C"/>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672A2"/>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right" w:pos="1020"/>
        <w:tab w:val="left" w:pos="1134"/>
      </w:tabs>
      <w:ind w:left="1134" w:hanging="794"/>
    </w:pPr>
  </w:style>
  <w:style w:type="paragraph" w:customStyle="1" w:styleId="N4">
    <w:name w:val="N4"/>
    <w:basedOn w:val="N3"/>
    <w:rsid w:val="008A5DA0"/>
    <w:pPr>
      <w:numPr>
        <w:ilvl w:val="3"/>
      </w:numPr>
      <w:tabs>
        <w:tab w:val="num" w:pos="1134"/>
      </w:tabs>
      <w:ind w:left="1134" w:hanging="113"/>
    </w:pPr>
  </w:style>
  <w:style w:type="paragraph" w:customStyle="1" w:styleId="N4-N5">
    <w:name w:val="N4-N5"/>
    <w:basedOn w:val="N4"/>
    <w:next w:val="N5"/>
    <w:rsid w:val="008A5DA0"/>
    <w:pPr>
      <w:numPr>
        <w:ilvl w:val="0"/>
      </w:numPr>
      <w:tabs>
        <w:tab w:val="right" w:pos="1021"/>
        <w:tab w:val="left" w:pos="1134"/>
        <w:tab w:val="left" w:pos="1701"/>
      </w:tabs>
      <w:ind w:left="1701" w:hanging="1701"/>
    </w:pPr>
  </w:style>
  <w:style w:type="paragraph" w:customStyle="1" w:styleId="N5">
    <w:name w:val="N5"/>
    <w:basedOn w:val="N4"/>
    <w:rsid w:val="008A5DA0"/>
    <w:pPr>
      <w:numPr>
        <w:ilvl w:val="4"/>
      </w:numPr>
      <w:tabs>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33"/>
    <w:rsid w:val="005A2A81"/>
    <w:rsid w:val="00750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A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4253E2-61A9-B042-A9DE-EB11A6BA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21</cp:revision>
  <cp:lastPrinted>2017-04-18T14:41:00Z</cp:lastPrinted>
  <dcterms:created xsi:type="dcterms:W3CDTF">2017-11-14T15:18:00Z</dcterms:created>
  <dcterms:modified xsi:type="dcterms:W3CDTF">2018-02-19T13:12:00Z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