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6CD918C8"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w:t>
      </w:r>
      <w:r w:rsidR="00FD5156">
        <w:rPr>
          <w:rFonts w:cs="Arial"/>
          <w:b/>
          <w:sz w:val="28"/>
          <w:szCs w:val="28"/>
        </w:rPr>
        <w:t>from 30 March 2022 onwards</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8EFCFEA" w14:textId="22BBD7F0" w:rsidR="005B7A6F" w:rsidRDefault="00FD515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D5156">
        <w:rPr>
          <w:rFonts w:cs="Arial"/>
          <w:color w:val="000000"/>
          <w:szCs w:val="24"/>
          <w:lang w:val="en" w:eastAsia="en-GB"/>
        </w:rPr>
        <w:t>Your Landlord must give you a minimum of 28 days’ notice, and may be required to give you 84 days’ notice, depending on how long you have occupied the Let Property and the grounds on which they intend to apply for eviction.</w:t>
      </w:r>
    </w:p>
    <w:p w14:paraId="1B57D76C" w14:textId="77777777" w:rsidR="00FD5156" w:rsidRPr="00ED3EF6" w:rsidRDefault="00FD515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If you become the Tenant of the Let Property because of the Sub-Tenant protection, the sub-tenancy notice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243BFE89"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4868CD9B"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04F3906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FD5156">
        <w:rPr>
          <w:rFonts w:cs="Arial"/>
          <w:color w:val="000000"/>
          <w:szCs w:val="24"/>
          <w:lang w:val="en" w:eastAsia="en-GB"/>
        </w:rPr>
        <w:t>Let Property</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7174E7A7"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02BF3299"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508291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6FF76BF0"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4894267E"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p>
    <w:p w14:paraId="2D55B5A6" w14:textId="60B388A8"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FD5156">
        <w:rPr>
          <w:rFonts w:cs="Arial"/>
          <w:color w:val="000000"/>
          <w:szCs w:val="24"/>
          <w:lang w:val="en" w:eastAsia="en-GB"/>
        </w:rPr>
        <w:t xml:space="preserve"> supported accommodation</w:t>
      </w:r>
    </w:p>
    <w:p w14:paraId="4C266244" w14:textId="0CB152DA"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lastRenderedPageBreak/>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0117C94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HMO licence has been revoked</w:t>
      </w:r>
      <w:r w:rsidR="00CD50D4">
        <w:rPr>
          <w:rFonts w:cs="Arial"/>
          <w:color w:val="000000"/>
          <w:szCs w:val="24"/>
          <w:lang w:val="en" w:eastAsia="en-GB"/>
        </w:rPr>
        <w:t xml:space="preserve"> or renewal has been refused</w:t>
      </w:r>
    </w:p>
    <w:p w14:paraId="1F3F3A3A" w14:textId="385820CF"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1ACF0A29"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 xml:space="preserve">(28 days or 84 days depending </w:t>
      </w:r>
      <w:r w:rsidR="00FD5156">
        <w:rPr>
          <w:rFonts w:cs="Arial"/>
          <w:color w:val="000000"/>
          <w:szCs w:val="24"/>
          <w:lang w:val="en" w:eastAsia="en-GB"/>
        </w:rPr>
        <w:t>on the eviction ground</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619763CC"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w:t>
      </w:r>
      <w:r w:rsidR="00FA65AD">
        <w:rPr>
          <w:rFonts w:cs="Arial"/>
          <w:b/>
          <w:sz w:val="28"/>
          <w:szCs w:val="28"/>
        </w:rPr>
        <w:t>from 30 March 2022 onwards</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46 of the Private Housing (Tenancies) (Scotland) Act 2016 says that, subject to section 47 of that Act, a lawful Sub-Tenant with a private residential tenancy will be protected from eviction when their Landlord’s tenancy has been brought to an end.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apply for any reason, or if the tenancy of the person who was the Sub-Tenant’s Landlord </w:t>
      </w:r>
      <w:r w:rsidRPr="00D10BFE">
        <w:rPr>
          <w:rFonts w:cs="Arial"/>
          <w:sz w:val="22"/>
          <w:szCs w:val="22"/>
        </w:rPr>
        <w:lastRenderedPageBreak/>
        <w:t>was brought to an end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8C3E18" w14:textId="561D2CD2" w:rsidR="00F602A0" w:rsidRDefault="00FA65AD" w:rsidP="00FA65A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A65AD">
        <w:rPr>
          <w:rFonts w:cs="Arial"/>
          <w:sz w:val="22"/>
          <w:szCs w:val="22"/>
        </w:rPr>
        <w:t xml:space="preserve">All eviction grounds are discretionary. This means the First-tier Tribunal for Scotland (Housing and Property Chamber) can exercise discretion to take account </w:t>
      </w:r>
      <w:bookmarkStart w:id="0" w:name="_GoBack"/>
      <w:bookmarkEnd w:id="0"/>
      <w:r w:rsidRPr="00FA65AD">
        <w:rPr>
          <w:rFonts w:cs="Arial"/>
          <w:sz w:val="22"/>
          <w:szCs w:val="22"/>
        </w:rPr>
        <w:t>all circumstances of a case when deciding whether or not to grant an evictio</w:t>
      </w:r>
      <w:r>
        <w:rPr>
          <w:rFonts w:cs="Arial"/>
          <w:sz w:val="22"/>
          <w:szCs w:val="22"/>
        </w:rPr>
        <w:t>n.</w:t>
      </w:r>
    </w:p>
    <w:p w14:paraId="2C81EA29" w14:textId="77777777" w:rsidR="00FA65AD" w:rsidRDefault="00FA65AD" w:rsidP="00FA65AD">
      <w:pPr>
        <w:pStyle w:val="ListParagraph"/>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rPr>
      </w:pPr>
    </w:p>
    <w:p w14:paraId="72947FE1" w14:textId="7E592DAE" w:rsidR="00FA65AD" w:rsidRPr="00FA65AD" w:rsidRDefault="00FA65AD" w:rsidP="00FA65AD">
      <w:pPr>
        <w:pStyle w:val="ListParagraph"/>
        <w:numPr>
          <w:ilvl w:val="0"/>
          <w:numId w:val="17"/>
        </w:numPr>
        <w:tabs>
          <w:tab w:val="clear" w:pos="720"/>
        </w:tabs>
        <w:ind w:left="426" w:hanging="426"/>
        <w:rPr>
          <w:rFonts w:cs="Arial"/>
          <w:sz w:val="22"/>
          <w:szCs w:val="22"/>
        </w:rPr>
      </w:pPr>
      <w:r>
        <w:rPr>
          <w:rFonts w:cs="Arial"/>
          <w:sz w:val="22"/>
          <w:szCs w:val="22"/>
        </w:rPr>
        <w:t xml:space="preserve">The </w:t>
      </w:r>
      <w:r w:rsidRPr="00FA65AD">
        <w:rPr>
          <w:rFonts w:cs="Arial"/>
          <w:sz w:val="22"/>
          <w:szCs w:val="22"/>
        </w:rPr>
        <w:t xml:space="preserve">amount of notice your Head Landlord must give you will depend on the eviction ground used.  You must receive 28 days’ notice if you have lived in the property for six months or less or 84 days’ notice if you have lived in the property for more than six months. At the end of the notice period you can leave the property immediately if you wish. If you do not leave the property the Head Landlord can make an application to the Tribunal for an eviction order. </w:t>
      </w: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period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1413229E"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w:t>
      </w:r>
      <w:r w:rsidR="00FA65AD">
        <w:rPr>
          <w:rFonts w:cs="Arial"/>
          <w:b/>
          <w:sz w:val="28"/>
          <w:szCs w:val="28"/>
        </w:rPr>
        <w:t>from 30 March 2022 onwards</w:t>
      </w:r>
    </w:p>
    <w:p w14:paraId="5DF1C8D7" w14:textId="77777777" w:rsidR="0024010A" w:rsidRPr="00FF4D78" w:rsidRDefault="0024010A" w:rsidP="0024010A">
      <w:pPr>
        <w:pBdr>
          <w:top w:val="single" w:sz="12" w:space="1" w:color="auto"/>
          <w:bottom w:val="single" w:sz="12" w:space="1" w:color="auto"/>
        </w:pBdr>
        <w:rPr>
          <w:rFonts w:cs="Arial"/>
          <w:b/>
          <w:sz w:val="16"/>
          <w:szCs w:val="16"/>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65C247ED" w:rsidR="00753527" w:rsidRDefault="00753527" w:rsidP="0024010A">
      <w:pPr>
        <w:rPr>
          <w:rFonts w:cs="Arial"/>
          <w:b/>
          <w:sz w:val="22"/>
          <w:szCs w:val="22"/>
        </w:rPr>
      </w:pPr>
      <w:r w:rsidRPr="00C2633D">
        <w:rPr>
          <w:rFonts w:cs="Arial"/>
          <w:b/>
          <w:sz w:val="22"/>
          <w:szCs w:val="22"/>
        </w:rPr>
        <w:t>GIVING THE RIGHT AMOUNT OF NOTICE</w:t>
      </w:r>
    </w:p>
    <w:p w14:paraId="694E3D2A" w14:textId="30F6046F" w:rsidR="00FA65AD" w:rsidRDefault="00FA65AD" w:rsidP="0024010A">
      <w:pPr>
        <w:rPr>
          <w:rFonts w:cs="Arial"/>
          <w:b/>
          <w:sz w:val="22"/>
          <w:szCs w:val="22"/>
        </w:rPr>
      </w:pPr>
    </w:p>
    <w:p w14:paraId="002EEDCB" w14:textId="77777777" w:rsidR="00FA65AD" w:rsidRPr="00FA65AD" w:rsidRDefault="00FA65AD" w:rsidP="00FA65AD">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color w:val="000000"/>
          <w:sz w:val="22"/>
          <w:szCs w:val="22"/>
          <w:lang w:val="en" w:eastAsia="en-GB"/>
        </w:rPr>
      </w:pPr>
      <w:r w:rsidRPr="00FA65AD">
        <w:rPr>
          <w:rFonts w:cs="Arial"/>
          <w:color w:val="000000"/>
          <w:sz w:val="22"/>
          <w:szCs w:val="22"/>
          <w:lang w:val="en" w:eastAsia="en-GB"/>
        </w:rPr>
        <w:t xml:space="preserve">All eviction grounds are </w:t>
      </w:r>
      <w:commentRangeStart w:id="1"/>
      <w:r w:rsidRPr="00FA65AD">
        <w:rPr>
          <w:rFonts w:cs="Arial"/>
          <w:color w:val="000000"/>
          <w:sz w:val="22"/>
          <w:szCs w:val="22"/>
          <w:lang w:val="en" w:eastAsia="en-GB"/>
        </w:rPr>
        <w:t>discretionary</w:t>
      </w:r>
      <w:commentRangeEnd w:id="1"/>
      <w:r w:rsidRPr="00FA65AD">
        <w:rPr>
          <w:rStyle w:val="CommentReference"/>
          <w:rFonts w:cs="Arial"/>
          <w:sz w:val="22"/>
          <w:szCs w:val="22"/>
        </w:rPr>
        <w:commentReference w:id="1"/>
      </w:r>
      <w:r w:rsidRPr="00FA65AD">
        <w:rPr>
          <w:rFonts w:cs="Arial"/>
          <w:color w:val="000000"/>
          <w:sz w:val="22"/>
          <w:szCs w:val="22"/>
          <w:lang w:val="en" w:eastAsia="en-GB"/>
        </w:rPr>
        <w:t xml:space="preserve">. This means that the First-tier Tribunal for Scotland (Housing and Property Chamber) can exercise discretion and take into account all the circumstances of a case when deciding whether or not to grant an eviction.  </w:t>
      </w:r>
    </w:p>
    <w:p w14:paraId="23652425" w14:textId="77777777" w:rsidR="00FA65AD" w:rsidRPr="00FA65AD" w:rsidRDefault="00FA65AD" w:rsidP="00FA65AD">
      <w:pPr>
        <w:rPr>
          <w:rFonts w:cs="Arial"/>
          <w:color w:val="000000"/>
          <w:sz w:val="22"/>
          <w:szCs w:val="22"/>
          <w:lang w:val="en" w:eastAsia="en-GB"/>
        </w:rPr>
      </w:pPr>
    </w:p>
    <w:p w14:paraId="7A285709" w14:textId="77777777" w:rsidR="00FA65AD" w:rsidRPr="00FA65AD" w:rsidRDefault="00FA65AD" w:rsidP="00FA65AD">
      <w:pPr>
        <w:pStyle w:val="ListParagraph"/>
        <w:numPr>
          <w:ilvl w:val="0"/>
          <w:numId w:val="24"/>
        </w:numPr>
        <w:tabs>
          <w:tab w:val="clear" w:pos="720"/>
          <w:tab w:val="clear" w:pos="1440"/>
          <w:tab w:val="clear" w:pos="2160"/>
          <w:tab w:val="clear" w:pos="2880"/>
          <w:tab w:val="clear" w:pos="4680"/>
          <w:tab w:val="clear" w:pos="5400"/>
          <w:tab w:val="clear" w:pos="9000"/>
        </w:tabs>
        <w:spacing w:afterLines="60" w:after="144" w:line="240" w:lineRule="auto"/>
        <w:ind w:left="426" w:hanging="426"/>
        <w:contextualSpacing w:val="0"/>
        <w:jc w:val="left"/>
        <w:rPr>
          <w:rFonts w:cs="Arial"/>
          <w:sz w:val="22"/>
          <w:szCs w:val="22"/>
        </w:rPr>
      </w:pPr>
      <w:r w:rsidRPr="00FA65AD">
        <w:rPr>
          <w:rFonts w:cs="Arial"/>
          <w:sz w:val="22"/>
          <w:szCs w:val="22"/>
        </w:rPr>
        <w:t>You must give your Sub-Tenant the relevant amount of notice.  The notice periods are:</w:t>
      </w:r>
    </w:p>
    <w:p w14:paraId="789FFA50" w14:textId="77777777" w:rsidR="00FA65AD" w:rsidRPr="00FA65AD" w:rsidRDefault="00FA65AD" w:rsidP="00FA65AD">
      <w:pPr>
        <w:pStyle w:val="ListParagraph"/>
        <w:numPr>
          <w:ilvl w:val="0"/>
          <w:numId w:val="40"/>
        </w:numPr>
        <w:tabs>
          <w:tab w:val="clear" w:pos="720"/>
          <w:tab w:val="clear" w:pos="1440"/>
          <w:tab w:val="clear" w:pos="2160"/>
          <w:tab w:val="clear" w:pos="2880"/>
          <w:tab w:val="clear" w:pos="4680"/>
          <w:tab w:val="clear" w:pos="5400"/>
          <w:tab w:val="clear" w:pos="9000"/>
        </w:tabs>
        <w:spacing w:afterLines="60" w:after="144" w:line="240" w:lineRule="auto"/>
        <w:ind w:left="709" w:hanging="283"/>
        <w:contextualSpacing w:val="0"/>
        <w:jc w:val="left"/>
        <w:rPr>
          <w:rFonts w:cs="Arial"/>
          <w:sz w:val="22"/>
          <w:szCs w:val="22"/>
        </w:rPr>
      </w:pPr>
      <w:r w:rsidRPr="00FA65AD">
        <w:rPr>
          <w:rFonts w:cs="Arial"/>
          <w:sz w:val="22"/>
          <w:szCs w:val="22"/>
        </w:rPr>
        <w:t>28 days’ notice if the Sub-Tenant has been entitled to occupy the property for six months or less.</w:t>
      </w:r>
    </w:p>
    <w:p w14:paraId="2C52CD9E" w14:textId="77777777" w:rsidR="00FA65AD" w:rsidRPr="00FA65AD" w:rsidRDefault="00FA65AD" w:rsidP="00FA65AD">
      <w:pPr>
        <w:pStyle w:val="ListParagraph"/>
        <w:numPr>
          <w:ilvl w:val="0"/>
          <w:numId w:val="40"/>
        </w:numPr>
        <w:tabs>
          <w:tab w:val="clear" w:pos="720"/>
          <w:tab w:val="clear" w:pos="1440"/>
          <w:tab w:val="clear" w:pos="2160"/>
          <w:tab w:val="clear" w:pos="2880"/>
          <w:tab w:val="clear" w:pos="4680"/>
          <w:tab w:val="clear" w:pos="5400"/>
          <w:tab w:val="clear" w:pos="9000"/>
        </w:tabs>
        <w:spacing w:line="240" w:lineRule="auto"/>
        <w:ind w:left="709" w:hanging="284"/>
        <w:contextualSpacing w:val="0"/>
        <w:jc w:val="left"/>
        <w:rPr>
          <w:rFonts w:cs="Arial"/>
          <w:sz w:val="22"/>
          <w:szCs w:val="22"/>
        </w:rPr>
      </w:pPr>
      <w:r w:rsidRPr="00FA65AD">
        <w:rPr>
          <w:rFonts w:cs="Arial"/>
          <w:sz w:val="22"/>
          <w:szCs w:val="22"/>
        </w:rPr>
        <w:t>84 days’ notice is required if the Sub-Tenant has been entitled to occupy the property for over six months</w:t>
      </w:r>
    </w:p>
    <w:p w14:paraId="05015034" w14:textId="622B8BB3"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 xml:space="preserve">‘HOW TO GIVE THIS NOTICE’ section which provides important information on </w:t>
      </w:r>
      <w:r w:rsidRPr="00394F1E">
        <w:rPr>
          <w:rFonts w:cs="Arial"/>
          <w:sz w:val="22"/>
          <w:szCs w:val="22"/>
        </w:rPr>
        <w:lastRenderedPageBreak/>
        <w:t>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48 hour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CC826F7" w:rsidR="00753527" w:rsidRPr="00554725"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w:t>
      </w:r>
      <w:r w:rsidR="00554725" w:rsidRPr="00554725">
        <w:rPr>
          <w:rFonts w:cs="Arial"/>
          <w:sz w:val="22"/>
          <w:szCs w:val="22"/>
        </w:rPr>
        <w:t>example</w:t>
      </w:r>
      <w:r w:rsidR="00554725" w:rsidRPr="00554725">
        <w:rPr>
          <w:rFonts w:cs="Arial"/>
          <w:sz w:val="22"/>
        </w:rPr>
        <w:t xml:space="preserve"> , if you are required to give your Tenant 6 months’ notice and you send the notice to leave by e-mail on 10 March, your Tenant will be expected to receive the notice on 12 March.  The 6 month notice period will start on 12 March and end on 12 September. If your Tenant chooses not to leave the Let Property following the expiry of the notice period, the earliest date that you can submit an application to the Tribunal for an eviction order is 13 September.</w:t>
      </w:r>
    </w:p>
    <w:p w14:paraId="02546B6F" w14:textId="77777777" w:rsidR="00753527" w:rsidRPr="00554725"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lastRenderedPageBreak/>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06F5BD40" w:rsidR="00F80D91" w:rsidRPr="00F80D91" w:rsidRDefault="00FA65AD" w:rsidP="004B485A">
      <w:pPr>
        <w:ind w:left="426" w:hanging="426"/>
        <w:rPr>
          <w:rFonts w:cs="Arial"/>
          <w:sz w:val="22"/>
          <w:szCs w:val="22"/>
        </w:rPr>
      </w:pPr>
      <w:r>
        <w:rPr>
          <w:rFonts w:cs="Arial"/>
          <w:sz w:val="22"/>
          <w:szCs w:val="22"/>
        </w:rPr>
        <w:t>13</w:t>
      </w:r>
      <w:r w:rsidR="00F80D91" w:rsidRPr="00F80D91">
        <w:rPr>
          <w:rFonts w:cs="Arial"/>
          <w:sz w:val="22"/>
          <w:szCs w:val="22"/>
        </w:rPr>
        <w:t>.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A70E9B7" w:rsidR="00F80D91" w:rsidRPr="00F80D91" w:rsidRDefault="00FA65AD" w:rsidP="004B485A">
      <w:pPr>
        <w:ind w:left="426" w:hanging="426"/>
        <w:rPr>
          <w:rFonts w:cs="Arial"/>
          <w:sz w:val="22"/>
          <w:szCs w:val="22"/>
        </w:rPr>
      </w:pPr>
      <w:r>
        <w:rPr>
          <w:rFonts w:cs="Arial"/>
          <w:sz w:val="22"/>
          <w:szCs w:val="22"/>
        </w:rPr>
        <w:t>14</w:t>
      </w:r>
      <w:r w:rsidR="00F80D91" w:rsidRPr="00F80D91">
        <w:rPr>
          <w:rFonts w:cs="Arial"/>
          <w:sz w:val="22"/>
          <w:szCs w:val="22"/>
        </w:rPr>
        <w:t>.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6590D3A5" w:rsidR="00F80D91" w:rsidRPr="00F80D91" w:rsidRDefault="00FA65AD" w:rsidP="004B485A">
      <w:pPr>
        <w:ind w:left="426" w:hanging="426"/>
        <w:rPr>
          <w:rFonts w:cs="Arial"/>
          <w:sz w:val="22"/>
          <w:szCs w:val="22"/>
        </w:rPr>
      </w:pPr>
      <w:r>
        <w:rPr>
          <w:rFonts w:cs="Arial"/>
          <w:sz w:val="22"/>
          <w:szCs w:val="22"/>
        </w:rPr>
        <w:t>15</w:t>
      </w:r>
      <w:r w:rsidR="00F80D91" w:rsidRPr="00F80D91">
        <w:rPr>
          <w:rFonts w:cs="Arial"/>
          <w:sz w:val="22"/>
          <w:szCs w:val="22"/>
        </w:rPr>
        <w:t>.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FA65AD">
      <w:pPr>
        <w:jc w:val="left"/>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65DAC1" w:rsidR="00F80D91" w:rsidRPr="00F80D91" w:rsidRDefault="00F80D91" w:rsidP="004B485A">
      <w:pPr>
        <w:ind w:left="426" w:hanging="426"/>
        <w:rPr>
          <w:rFonts w:cs="Arial"/>
          <w:sz w:val="22"/>
          <w:szCs w:val="22"/>
        </w:rPr>
      </w:pPr>
      <w:r w:rsidRPr="00F80D91">
        <w:rPr>
          <w:rFonts w:cs="Arial"/>
          <w:sz w:val="22"/>
          <w:szCs w:val="22"/>
        </w:rPr>
        <w:t>1</w:t>
      </w:r>
      <w:r w:rsidR="00FA65AD">
        <w:rPr>
          <w:rFonts w:cs="Arial"/>
          <w:sz w:val="22"/>
          <w:szCs w:val="22"/>
        </w:rPr>
        <w:t>6</w:t>
      </w:r>
      <w:r w:rsidRPr="00F80D91">
        <w:rPr>
          <w:rFonts w:cs="Arial"/>
          <w:sz w:val="22"/>
          <w:szCs w:val="22"/>
        </w:rPr>
        <w:t>.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2693D65C" w:rsidR="00F80D91" w:rsidRPr="00F80D91" w:rsidRDefault="00F80D91" w:rsidP="004B485A">
      <w:pPr>
        <w:ind w:left="426" w:hanging="426"/>
        <w:rPr>
          <w:rFonts w:cs="Arial"/>
          <w:sz w:val="22"/>
          <w:szCs w:val="22"/>
        </w:rPr>
      </w:pPr>
      <w:r w:rsidRPr="00F80D91">
        <w:rPr>
          <w:rFonts w:cs="Arial"/>
          <w:sz w:val="22"/>
          <w:szCs w:val="22"/>
        </w:rPr>
        <w:t>1</w:t>
      </w:r>
      <w:r w:rsidR="00FA65AD">
        <w:rPr>
          <w:rFonts w:cs="Arial"/>
          <w:sz w:val="22"/>
          <w:szCs w:val="22"/>
        </w:rPr>
        <w:t>7</w:t>
      </w:r>
      <w:r w:rsidRPr="00F80D91">
        <w:rPr>
          <w:rFonts w:cs="Arial"/>
          <w:sz w:val="22"/>
          <w:szCs w:val="22"/>
        </w:rPr>
        <w:t>.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FA65AD">
      <w:pPr>
        <w:pStyle w:val="ListParagraph"/>
        <w:numPr>
          <w:ilvl w:val="0"/>
          <w:numId w:val="41"/>
        </w:numPr>
        <w:tabs>
          <w:tab w:val="clear" w:pos="720"/>
          <w:tab w:val="clear" w:pos="1440"/>
          <w:tab w:val="clear" w:pos="2160"/>
          <w:tab w:val="clear" w:pos="2880"/>
          <w:tab w:val="clear" w:pos="4680"/>
          <w:tab w:val="clear" w:pos="5400"/>
          <w:tab w:val="clear" w:pos="9000"/>
        </w:tabs>
        <w:spacing w:line="240" w:lineRule="auto"/>
        <w:ind w:left="426" w:hanging="43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Shelter Scotland</w:t>
      </w:r>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rft AM (Alan)" w:date="2022-03-09T12:15:00Z" w:initials="GA(">
    <w:p w14:paraId="7FA6F84B" w14:textId="77777777" w:rsidR="00FA65AD" w:rsidRDefault="00FA65AD" w:rsidP="00FA65AD">
      <w:pPr>
        <w:pStyle w:val="CommentText"/>
      </w:pPr>
      <w:r>
        <w:rPr>
          <w:rStyle w:val="CommentReference"/>
        </w:rPr>
        <w:annotationRef/>
      </w:r>
      <w:r>
        <w:t xml:space="preserve">Wording taken out after All eviction grounds are discretionary - ‘until 30 September 2022’ </w:t>
      </w:r>
    </w:p>
    <w:p w14:paraId="4390438A" w14:textId="77777777" w:rsidR="00FA65AD" w:rsidRDefault="00FA65AD" w:rsidP="00FA65AD">
      <w:pPr>
        <w:pStyle w:val="CommentText"/>
      </w:pPr>
    </w:p>
    <w:p w14:paraId="107BED5C" w14:textId="77777777" w:rsidR="00FA65AD" w:rsidRDefault="00FA65AD" w:rsidP="00FA65AD">
      <w:pPr>
        <w:pStyle w:val="CommentText"/>
      </w:pPr>
      <w:r>
        <w:t>(I think this is totally fine. It is something we can revisit in future if we anticipate any issues about it seamlessly becoming permanent policy</w:t>
      </w:r>
    </w:p>
    <w:p w14:paraId="7D4DAF4B" w14:textId="77777777" w:rsidR="00FA65AD" w:rsidRDefault="00FA65AD" w:rsidP="00FA65AD">
      <w:pPr>
        <w:pStyle w:val="CommentText"/>
      </w:pPr>
    </w:p>
    <w:p w14:paraId="284ADE63" w14:textId="77777777" w:rsidR="00FA65AD" w:rsidRDefault="00FA65AD" w:rsidP="00FA65AD">
      <w:pPr>
        <w:pStyle w:val="CommentText"/>
      </w:pPr>
    </w:p>
    <w:p w14:paraId="5B424578" w14:textId="77777777" w:rsidR="00FA65AD" w:rsidRDefault="00FA65AD" w:rsidP="00FA65AD">
      <w:pPr>
        <w:pStyle w:val="CommentText"/>
      </w:pPr>
      <w:r>
        <w:t>AG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42457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A0703" w14:textId="77777777" w:rsidR="00CC6ED0" w:rsidRDefault="00CC6ED0">
      <w:pPr>
        <w:spacing w:line="240" w:lineRule="auto"/>
      </w:pPr>
      <w:r>
        <w:separator/>
      </w:r>
    </w:p>
  </w:endnote>
  <w:endnote w:type="continuationSeparator" w:id="0">
    <w:p w14:paraId="6D7B082F" w14:textId="77777777" w:rsidR="00CC6ED0" w:rsidRDefault="00CC6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470175"/>
      <w:docPartObj>
        <w:docPartGallery w:val="Page Numbers (Bottom of Page)"/>
        <w:docPartUnique/>
      </w:docPartObj>
    </w:sdtPr>
    <w:sdtEndPr>
      <w:rPr>
        <w:noProof/>
      </w:rPr>
    </w:sdtEndPr>
    <w:sdtContent>
      <w:p w14:paraId="2DCC97DB" w14:textId="77A1C096" w:rsidR="00870E9A" w:rsidRDefault="00870E9A">
        <w:pPr>
          <w:pStyle w:val="Footer"/>
          <w:jc w:val="center"/>
        </w:pPr>
        <w:r>
          <w:fldChar w:fldCharType="begin"/>
        </w:r>
        <w:r>
          <w:instrText xml:space="preserve"> PAGE   \* MERGEFORMAT </w:instrText>
        </w:r>
        <w:r>
          <w:fldChar w:fldCharType="separate"/>
        </w:r>
        <w:r w:rsidR="0092195F">
          <w:rPr>
            <w:noProof/>
          </w:rPr>
          <w:t>7</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53347" w14:textId="77777777" w:rsidR="00CC6ED0" w:rsidRDefault="00CC6ED0">
      <w:pPr>
        <w:spacing w:line="240" w:lineRule="auto"/>
      </w:pPr>
      <w:r>
        <w:separator/>
      </w:r>
    </w:p>
  </w:footnote>
  <w:footnote w:type="continuationSeparator" w:id="0">
    <w:p w14:paraId="51ED3BC9" w14:textId="77777777" w:rsidR="00CC6ED0" w:rsidRDefault="00CC6ED0">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3944"/>
    <w:multiLevelType w:val="hybridMultilevel"/>
    <w:tmpl w:val="FCC0F1A2"/>
    <w:lvl w:ilvl="0" w:tplc="0518D54A">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B02FA9"/>
    <w:multiLevelType w:val="hybridMultilevel"/>
    <w:tmpl w:val="6094A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6"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30"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2" w15:restartNumberingAfterBreak="0">
    <w:nsid w:val="68AF3DCC"/>
    <w:multiLevelType w:val="hybridMultilevel"/>
    <w:tmpl w:val="FADA2BAA"/>
    <w:lvl w:ilvl="0" w:tplc="7694A3F0">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676C72"/>
    <w:multiLevelType w:val="hybridMultilevel"/>
    <w:tmpl w:val="4A6A1AB8"/>
    <w:lvl w:ilvl="0" w:tplc="59FC7A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40"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1"/>
  </w:num>
  <w:num w:numId="2">
    <w:abstractNumId w:val="0"/>
  </w:num>
  <w:num w:numId="3">
    <w:abstractNumId w:val="29"/>
  </w:num>
  <w:num w:numId="4">
    <w:abstractNumId w:val="39"/>
  </w:num>
  <w:num w:numId="5">
    <w:abstractNumId w:val="15"/>
  </w:num>
  <w:num w:numId="6">
    <w:abstractNumId w:val="12"/>
  </w:num>
  <w:num w:numId="7">
    <w:abstractNumId w:val="26"/>
  </w:num>
  <w:num w:numId="8">
    <w:abstractNumId w:val="19"/>
  </w:num>
  <w:num w:numId="9">
    <w:abstractNumId w:val="17"/>
  </w:num>
  <w:num w:numId="10">
    <w:abstractNumId w:val="11"/>
  </w:num>
  <w:num w:numId="11">
    <w:abstractNumId w:val="38"/>
  </w:num>
  <w:num w:numId="12">
    <w:abstractNumId w:val="30"/>
  </w:num>
  <w:num w:numId="13">
    <w:abstractNumId w:val="5"/>
  </w:num>
  <w:num w:numId="14">
    <w:abstractNumId w:val="27"/>
  </w:num>
  <w:num w:numId="15">
    <w:abstractNumId w:val="13"/>
  </w:num>
  <w:num w:numId="16">
    <w:abstractNumId w:val="33"/>
  </w:num>
  <w:num w:numId="17">
    <w:abstractNumId w:val="24"/>
  </w:num>
  <w:num w:numId="18">
    <w:abstractNumId w:val="21"/>
  </w:num>
  <w:num w:numId="19">
    <w:abstractNumId w:val="34"/>
  </w:num>
  <w:num w:numId="20">
    <w:abstractNumId w:val="6"/>
  </w:num>
  <w:num w:numId="21">
    <w:abstractNumId w:val="8"/>
  </w:num>
  <w:num w:numId="22">
    <w:abstractNumId w:val="20"/>
  </w:num>
  <w:num w:numId="23">
    <w:abstractNumId w:val="36"/>
  </w:num>
  <w:num w:numId="24">
    <w:abstractNumId w:val="3"/>
  </w:num>
  <w:num w:numId="25">
    <w:abstractNumId w:val="40"/>
  </w:num>
  <w:num w:numId="26">
    <w:abstractNumId w:val="28"/>
  </w:num>
  <w:num w:numId="27">
    <w:abstractNumId w:val="1"/>
  </w:num>
  <w:num w:numId="28">
    <w:abstractNumId w:val="16"/>
  </w:num>
  <w:num w:numId="29">
    <w:abstractNumId w:val="23"/>
  </w:num>
  <w:num w:numId="30">
    <w:abstractNumId w:val="9"/>
  </w:num>
  <w:num w:numId="31">
    <w:abstractNumId w:val="14"/>
  </w:num>
  <w:num w:numId="32">
    <w:abstractNumId w:val="22"/>
  </w:num>
  <w:num w:numId="33">
    <w:abstractNumId w:val="18"/>
  </w:num>
  <w:num w:numId="34">
    <w:abstractNumId w:val="25"/>
  </w:num>
  <w:num w:numId="35">
    <w:abstractNumId w:val="35"/>
  </w:num>
  <w:num w:numId="36">
    <w:abstractNumId w:val="4"/>
  </w:num>
  <w:num w:numId="37">
    <w:abstractNumId w:val="2"/>
  </w:num>
  <w:num w:numId="38">
    <w:abstractNumId w:val="10"/>
  </w:num>
  <w:num w:numId="39">
    <w:abstractNumId w:val="7"/>
  </w:num>
  <w:num w:numId="40">
    <w:abstractNumId w:val="37"/>
  </w:num>
  <w:num w:numId="41">
    <w:abstractNumId w:val="3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ft AM (Alan)">
    <w15:presenceInfo w15:providerId="AD" w15:userId="S-1-5-21-765483983-692928010-316617838-1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172"/>
    <w:rsid w:val="00006205"/>
    <w:rsid w:val="00006AFC"/>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3F50"/>
    <w:rsid w:val="00287139"/>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35C"/>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1DD8"/>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A3555"/>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2195F"/>
    <w:rsid w:val="00935E06"/>
    <w:rsid w:val="0094528B"/>
    <w:rsid w:val="00952710"/>
    <w:rsid w:val="00955C1D"/>
    <w:rsid w:val="009600EA"/>
    <w:rsid w:val="009670AB"/>
    <w:rsid w:val="0098459A"/>
    <w:rsid w:val="00984F64"/>
    <w:rsid w:val="009A4297"/>
    <w:rsid w:val="009A45A7"/>
    <w:rsid w:val="009B33E5"/>
    <w:rsid w:val="009B62C0"/>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1B93"/>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DDA"/>
    <w:rsid w:val="00C74E4D"/>
    <w:rsid w:val="00C86FBA"/>
    <w:rsid w:val="00C9057A"/>
    <w:rsid w:val="00C96960"/>
    <w:rsid w:val="00CA05AD"/>
    <w:rsid w:val="00CA280A"/>
    <w:rsid w:val="00CA7921"/>
    <w:rsid w:val="00CB1DFE"/>
    <w:rsid w:val="00CB63FF"/>
    <w:rsid w:val="00CB707C"/>
    <w:rsid w:val="00CC17D2"/>
    <w:rsid w:val="00CC6ED0"/>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34331"/>
    <w:rsid w:val="00F40220"/>
    <w:rsid w:val="00F43E48"/>
    <w:rsid w:val="00F54BA1"/>
    <w:rsid w:val="00F602A0"/>
    <w:rsid w:val="00F63B51"/>
    <w:rsid w:val="00F67E71"/>
    <w:rsid w:val="00F7568B"/>
    <w:rsid w:val="00F80D91"/>
    <w:rsid w:val="00F865FF"/>
    <w:rsid w:val="00F965A9"/>
    <w:rsid w:val="00FA26D4"/>
    <w:rsid w:val="00FA65AD"/>
    <w:rsid w:val="00FB27B7"/>
    <w:rsid w:val="00FB6541"/>
    <w:rsid w:val="00FC7B64"/>
    <w:rsid w:val="00FD5156"/>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customStyle="1"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4.xml><?xml version="1.0" encoding="utf-8"?>
<ds:datastoreItem xmlns:ds="http://schemas.openxmlformats.org/officeDocument/2006/customXml" ds:itemID="{7B74C222-849A-42C1-95B0-BA2A9AAB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Sutcliffe J (Jonathan)</cp:lastModifiedBy>
  <cp:revision>33</cp:revision>
  <cp:lastPrinted>2017-04-21T11:45:00Z</cp:lastPrinted>
  <dcterms:created xsi:type="dcterms:W3CDTF">2017-11-16T09:44:00Z</dcterms:created>
  <dcterms:modified xsi:type="dcterms:W3CDTF">2022-03-23T11:32:00Z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