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77777777"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E19F4B6" w14:textId="0ACA095B"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Your Head Landlord must give you a minimum of 28 days’ notice if you have lived in the property for six months or less or 84 days’ notice if you have lived in the property for more than six months.</w:t>
      </w:r>
    </w:p>
    <w:p w14:paraId="03D58B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77777777"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If you become the Tenant of the Let Property because of the Sub-Tenant protection, the sub-tenancy notice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73134020" w14:textId="77777777" w:rsidR="00ED3EF6" w:rsidRDefault="00ED3EF6" w:rsidP="00ED3EF6">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BED55F" w14:textId="77777777" w:rsidR="00A032C2" w:rsidRDefault="00A032C2"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13A2C922"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of the Landlord</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w:t>
      </w:r>
      <w:commentRangeStart w:id="0"/>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0"/>
      <w:r w:rsidR="003A4F79" w:rsidRPr="00074776">
        <w:rPr>
          <w:rStyle w:val="CommentReference"/>
          <w:rFonts w:cs="Arial"/>
          <w:sz w:val="24"/>
          <w:szCs w:val="24"/>
          <w:lang w:eastAsia="en-GB"/>
        </w:rPr>
        <w:commentReference w:id="0"/>
      </w:r>
    </w:p>
    <w:p w14:paraId="1F3F3A3A" w14:textId="631880CD" w:rsidR="003A4F79" w:rsidRPr="00074776" w:rsidRDefault="00A55F51" w:rsidP="002D34B6">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FFDCE8" w14:textId="77777777" w:rsidR="005B55AC" w:rsidRDefault="005B55A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06071F1"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0D8E12A1" w:rsidR="00753527" w:rsidRPr="00606898"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D05A76" w:rsidRPr="00D05A76">
        <w:rPr>
          <w:rFonts w:cs="Arial"/>
          <w:sz w:val="22"/>
          <w:szCs w:val="22"/>
          <w:vertAlign w:val="superscript"/>
        </w:rPr>
        <w:t>1</w:t>
      </w:r>
      <w:r w:rsidRPr="00606898">
        <w:rPr>
          <w:rFonts w:cs="Arial"/>
          <w:sz w:val="22"/>
          <w:szCs w:val="22"/>
        </w:rPr>
        <w:t xml:space="preserve"> (the Act), and they want to evict you and your Landlord from the Let Property.</w:t>
      </w:r>
    </w:p>
    <w:p w14:paraId="1020E978" w14:textId="77777777" w:rsidR="00753527" w:rsidRPr="00606898" w:rsidRDefault="00753527" w:rsidP="00753527">
      <w:pPr>
        <w:pBdr>
          <w:bottom w:val="single" w:sz="12" w:space="1" w:color="auto"/>
        </w:pBdr>
        <w:rPr>
          <w:rFonts w:cs="Arial"/>
          <w:sz w:val="22"/>
          <w:szCs w:val="22"/>
        </w:rPr>
      </w:pPr>
    </w:p>
    <w:p w14:paraId="59A95B56" w14:textId="77777777" w:rsidR="00753527" w:rsidRPr="00606898" w:rsidRDefault="00753527" w:rsidP="00753527">
      <w:pPr>
        <w:rPr>
          <w:rFonts w:cs="Arial"/>
          <w:sz w:val="22"/>
          <w:szCs w:val="22"/>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46 of the Private Housing (Tenancies) (Scotland) Act 2016 says that, subject to section 47 of that Act, a lawful Sub-Tenant with a private residential tenancy will be protected from eviction when their Landlord’s tenancy has been brought to an end.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apply for any reason, or if the tenancy of the person who was the Sub-Tenant’s Landlord was brought to an end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55C62F5" w14:textId="77777777" w:rsidR="00753527" w:rsidRDefault="00753527" w:rsidP="00753527">
      <w:pPr>
        <w:pBdr>
          <w:bottom w:val="single" w:sz="12" w:space="1" w:color="auto"/>
        </w:pBdr>
        <w:rPr>
          <w:rFonts w:cs="Arial"/>
          <w:sz w:val="22"/>
          <w:szCs w:val="22"/>
        </w:rPr>
      </w:pPr>
    </w:p>
    <w:p w14:paraId="624D21BF" w14:textId="20400499" w:rsidR="003430E7" w:rsidRPr="00F602A0" w:rsidRDefault="00D05A76" w:rsidP="00F602A0">
      <w:pPr>
        <w:rPr>
          <w:rFonts w:cs="Arial"/>
          <w:sz w:val="22"/>
          <w:szCs w:val="22"/>
        </w:rPr>
      </w:pPr>
      <w:r w:rsidRPr="00D05A76">
        <w:rPr>
          <w:vertAlign w:val="superscript"/>
        </w:rPr>
        <w:t>1</w:t>
      </w:r>
      <w:r w:rsidR="00F602A0">
        <w:t xml:space="preserve"> </w:t>
      </w:r>
      <w:hyperlink r:id="rId14" w:history="1">
        <w:r w:rsidR="00F602A0" w:rsidRPr="00CD0942">
          <w:rPr>
            <w:rStyle w:val="Hyperlink"/>
            <w:rFonts w:cs="Arial"/>
            <w:sz w:val="22"/>
            <w:szCs w:val="22"/>
          </w:rPr>
          <w:t>http://www.legislation.gov.uk/asp/2016/19/contents/enacted</w:t>
        </w:r>
      </w:hyperlink>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lastRenderedPageBreak/>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E6E0275" w14:textId="77777777" w:rsidR="00753527" w:rsidRPr="00630045" w:rsidRDefault="00753527" w:rsidP="00753527">
      <w:pPr>
        <w:rPr>
          <w:rFonts w:cs="Arial"/>
          <w:b/>
          <w:sz w:val="22"/>
          <w:szCs w:val="22"/>
          <w:u w:val="single"/>
        </w:rPr>
      </w:pPr>
      <w:r w:rsidRPr="00630045">
        <w:rPr>
          <w:rFonts w:cs="Arial"/>
          <w:b/>
          <w:sz w:val="22"/>
          <w:szCs w:val="22"/>
          <w:u w:val="single"/>
        </w:rPr>
        <w:t>EVICTION GROUND(S) BEING USED</w:t>
      </w:r>
    </w:p>
    <w:p w14:paraId="5D612E53" w14:textId="77777777" w:rsidR="00753527" w:rsidRDefault="00753527" w:rsidP="00753527">
      <w:pPr>
        <w:rPr>
          <w:rFonts w:cs="Arial"/>
          <w:b/>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0D922418" w:rsidR="00753527" w:rsidRDefault="00F602A0" w:rsidP="00BB7792">
      <w:pPr>
        <w:pStyle w:val="ListParagraph"/>
        <w:numPr>
          <w:ilvl w:val="0"/>
          <w:numId w:val="17"/>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602A0">
        <w:rPr>
          <w:rFonts w:cs="Arial"/>
          <w:sz w:val="22"/>
          <w:szCs w:val="22"/>
        </w:rPr>
        <w:t>Your Head Landlord must give you the proper amount of notice to leave the Let Property. You must receive 28 days’ notice if you have lived in the property for six months or less or 84 days’ notice if you have lived in the property for more than six months. At the end of the notice period you can leave the property immediately if you wish. If you do not leave the property the Head Landlord can make an application to the Tribunal for an eviction order.</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3D815539" w14:textId="2AA570AB" w:rsidR="00753527" w:rsidRPr="0070572F" w:rsidRDefault="00753527" w:rsidP="00753527">
      <w:pPr>
        <w:rPr>
          <w:rFonts w:cs="Arial"/>
          <w:b/>
          <w:sz w:val="22"/>
          <w:szCs w:val="22"/>
        </w:rPr>
      </w:pPr>
      <w:r w:rsidRPr="0070572F">
        <w:rPr>
          <w:rFonts w:cs="Arial"/>
          <w:b/>
          <w:sz w:val="22"/>
          <w:szCs w:val="22"/>
        </w:rPr>
        <w:t>EVICTION GROUNDS</w:t>
      </w:r>
      <w:r w:rsidR="00F602A0">
        <w:rPr>
          <w:rFonts w:cs="Arial"/>
          <w:b/>
          <w:sz w:val="22"/>
          <w:szCs w:val="22"/>
        </w:rPr>
        <w:t xml:space="preserve"> BEING USED</w:t>
      </w:r>
    </w:p>
    <w:p w14:paraId="25AF3510" w14:textId="77777777" w:rsidR="00753527" w:rsidRPr="00606898" w:rsidRDefault="00753527" w:rsidP="00753527">
      <w:pPr>
        <w:rPr>
          <w:rFonts w:cs="Arial"/>
          <w:sz w:val="22"/>
          <w:szCs w:val="22"/>
        </w:rPr>
      </w:pPr>
    </w:p>
    <w:p w14:paraId="4D9379FB"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the eviction ground:</w:t>
      </w:r>
    </w:p>
    <w:p w14:paraId="2DBB83DA" w14:textId="77777777" w:rsidR="00753527" w:rsidRPr="00F350EE" w:rsidRDefault="00753527" w:rsidP="00753527">
      <w:pPr>
        <w:rPr>
          <w:rFonts w:cs="Arial"/>
          <w:sz w:val="22"/>
          <w:szCs w:val="22"/>
        </w:rPr>
      </w:pPr>
    </w:p>
    <w:p w14:paraId="0DBE0ABB"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sell the Let Property</w:t>
      </w:r>
    </w:p>
    <w:p w14:paraId="4EAE54D1"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to be sold by the mortgage lender</w:t>
      </w:r>
    </w:p>
    <w:p w14:paraId="10F8A83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refurbish the Let Property</w:t>
      </w:r>
    </w:p>
    <w:p w14:paraId="2E5970F0"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live in the Let Property</w:t>
      </w:r>
    </w:p>
    <w:p w14:paraId="384E7ACF"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use the Let Property for a non-residential purpose</w:t>
      </w:r>
    </w:p>
    <w:p w14:paraId="35CA25F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required for a religious purpose</w:t>
      </w:r>
    </w:p>
    <w:p w14:paraId="271EB172" w14:textId="77777777" w:rsidR="00753527" w:rsidRPr="00606898" w:rsidRDefault="00753527" w:rsidP="00753527">
      <w:pPr>
        <w:rPr>
          <w:rFonts w:cs="Arial"/>
          <w:sz w:val="22"/>
          <w:szCs w:val="22"/>
        </w:rPr>
      </w:pPr>
    </w:p>
    <w:p w14:paraId="5F8A37E8" w14:textId="77777777" w:rsidR="00753527" w:rsidRPr="00606898" w:rsidRDefault="00753527" w:rsidP="00753527">
      <w:pPr>
        <w:ind w:left="360"/>
        <w:rPr>
          <w:rFonts w:cs="Arial"/>
          <w:sz w:val="22"/>
          <w:szCs w:val="22"/>
        </w:rPr>
      </w:pPr>
      <w:r w:rsidRPr="00B85199">
        <w:rPr>
          <w:rFonts w:cs="Arial"/>
          <w:sz w:val="22"/>
          <w:szCs w:val="22"/>
        </w:rPr>
        <w:t xml:space="preserve">the ground is mandatory which means that if the Tribunal decides that the eviction ground is established, the Tribunal </w:t>
      </w:r>
      <w:r w:rsidRPr="004C08ED">
        <w:rPr>
          <w:rFonts w:cs="Arial"/>
          <w:b/>
          <w:sz w:val="22"/>
          <w:szCs w:val="22"/>
        </w:rPr>
        <w:t>must</w:t>
      </w:r>
      <w:r w:rsidRPr="00B85199">
        <w:rPr>
          <w:rFonts w:cs="Arial"/>
          <w:sz w:val="22"/>
          <w:szCs w:val="22"/>
        </w:rPr>
        <w:t xml:space="preserve"> grant an eviction order.  If an eviction order is granted, the Head Landlord will be able to evict you.</w:t>
      </w:r>
    </w:p>
    <w:p w14:paraId="548FA2C9" w14:textId="77777777" w:rsidR="00753527" w:rsidRPr="00606898" w:rsidRDefault="00753527" w:rsidP="00753527">
      <w:pPr>
        <w:rPr>
          <w:rFonts w:cs="Arial"/>
          <w:sz w:val="22"/>
          <w:szCs w:val="22"/>
        </w:rPr>
      </w:pPr>
    </w:p>
    <w:p w14:paraId="2564DB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eviction ground:</w:t>
      </w:r>
    </w:p>
    <w:p w14:paraId="293C051C" w14:textId="77777777" w:rsidR="00753527" w:rsidRPr="00834366" w:rsidRDefault="00753527" w:rsidP="00753527">
      <w:pPr>
        <w:rPr>
          <w:rFonts w:cs="Arial"/>
          <w:sz w:val="22"/>
          <w:szCs w:val="22"/>
        </w:rPr>
      </w:pPr>
    </w:p>
    <w:p w14:paraId="7E9CDB5C"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landlord’s family member intends to live in the Let Property</w:t>
      </w:r>
    </w:p>
    <w:p w14:paraId="6298509B"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tenant no longer needs supported accommodation</w:t>
      </w:r>
    </w:p>
    <w:p w14:paraId="085931A3"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 has had their registration refused or revoked</w:t>
      </w:r>
    </w:p>
    <w:p w14:paraId="60D20032"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lastRenderedPageBreak/>
        <w:t>landlord’s HMO licence has been revoked or renewal has been refused</w:t>
      </w:r>
    </w:p>
    <w:p w14:paraId="735E7107" w14:textId="77777777" w:rsidR="00753527"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an Overcrowding Statutory Notice has been served on the landlord</w:t>
      </w:r>
    </w:p>
    <w:p w14:paraId="092304D8" w14:textId="77777777" w:rsidR="00753527" w:rsidRPr="00B00AAD" w:rsidRDefault="00753527" w:rsidP="00753527">
      <w:pPr>
        <w:rPr>
          <w:rFonts w:cs="Arial"/>
          <w:sz w:val="22"/>
          <w:szCs w:val="22"/>
        </w:rPr>
      </w:pPr>
    </w:p>
    <w:p w14:paraId="1F7D8A25" w14:textId="77777777" w:rsidR="00753527" w:rsidRDefault="00753527" w:rsidP="00753527">
      <w:pPr>
        <w:ind w:left="360"/>
        <w:rPr>
          <w:rFonts w:cs="Arial"/>
          <w:sz w:val="22"/>
          <w:szCs w:val="22"/>
        </w:rPr>
      </w:pPr>
      <w:r w:rsidRPr="00B00AAD">
        <w:rPr>
          <w:rFonts w:cs="Arial"/>
          <w:sz w:val="22"/>
          <w:szCs w:val="22"/>
        </w:rPr>
        <w:t xml:space="preserve">the ground is discretionary which means that even if the Tribunal is content that the eviction ground is established, it will still have to decide whether it is reasonable to evict you (and your Landlord).  In deciding whether it is reasonable, the Tribunal must take into account all the circumstances of the case.  The Tribunal </w:t>
      </w:r>
      <w:r w:rsidRPr="004C08ED">
        <w:rPr>
          <w:rFonts w:cs="Arial"/>
          <w:b/>
          <w:sz w:val="22"/>
          <w:szCs w:val="22"/>
        </w:rPr>
        <w:t>may</w:t>
      </w:r>
      <w:r w:rsidRPr="00B00AAD">
        <w:rPr>
          <w:rFonts w:cs="Arial"/>
          <w:sz w:val="22"/>
          <w:szCs w:val="22"/>
        </w:rPr>
        <w:t xml:space="preserve"> decide not to grant an eviction order or may delay its decision.</w:t>
      </w:r>
    </w:p>
    <w:p w14:paraId="2E295F58" w14:textId="77777777" w:rsidR="00753527" w:rsidRPr="00B00AAD" w:rsidRDefault="00753527" w:rsidP="00753527">
      <w:pPr>
        <w:ind w:left="720"/>
        <w:rPr>
          <w:rFonts w:cs="Arial"/>
          <w:sz w:val="22"/>
          <w:szCs w:val="22"/>
        </w:rPr>
      </w:pPr>
    </w:p>
    <w:p w14:paraId="043B8BC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your Head Landlord is using eviction ground ‘tenant ceases to be –or fails to become – an employee’, the Tribunal </w:t>
      </w:r>
      <w:r w:rsidRPr="004C08ED">
        <w:rPr>
          <w:rFonts w:cs="Arial"/>
          <w:b/>
          <w:sz w:val="22"/>
          <w:szCs w:val="22"/>
        </w:rPr>
        <w:t>must</w:t>
      </w:r>
      <w:r w:rsidRPr="00D10BFE">
        <w:rPr>
          <w:rFonts w:cs="Arial"/>
          <w:sz w:val="22"/>
          <w:szCs w:val="22"/>
        </w:rPr>
        <w:t xml:space="preserve"> grant an eviction order if the application for eviction was made within 12 months of you or your landlord ceasing to be - or failing to become - an employee.  The Tribunal </w:t>
      </w:r>
      <w:r w:rsidRPr="004C08ED">
        <w:rPr>
          <w:rFonts w:cs="Arial"/>
          <w:b/>
          <w:sz w:val="22"/>
          <w:szCs w:val="22"/>
        </w:rPr>
        <w:t>ma</w:t>
      </w:r>
      <w:r w:rsidRPr="00D10BFE">
        <w:rPr>
          <w:rFonts w:cs="Arial"/>
          <w:sz w:val="22"/>
          <w:szCs w:val="22"/>
        </w:rPr>
        <w:t>y issue an eviction order if the eviction application is made after the 12 month period has elapsed.</w:t>
      </w:r>
    </w:p>
    <w:p w14:paraId="7B6D74AE" w14:textId="77777777" w:rsidR="00753527" w:rsidRPr="00606898" w:rsidRDefault="00753527" w:rsidP="00753527">
      <w:pPr>
        <w:pBdr>
          <w:bottom w:val="single" w:sz="12" w:space="1" w:color="auto"/>
        </w:pBdr>
        <w:rPr>
          <w:rFonts w:cs="Arial"/>
          <w:sz w:val="22"/>
          <w:szCs w:val="22"/>
        </w:rPr>
      </w:pPr>
    </w:p>
    <w:p w14:paraId="312223EF" w14:textId="77777777" w:rsidR="00753527" w:rsidRPr="00606898"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period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5"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BEE04CB" w14:textId="77777777" w:rsidR="00753527" w:rsidRPr="00606898" w:rsidRDefault="00753527" w:rsidP="00753527">
      <w:pPr>
        <w:rPr>
          <w:rFonts w:cs="Arial"/>
          <w:sz w:val="22"/>
          <w:szCs w:val="22"/>
        </w:rPr>
      </w:pPr>
    </w:p>
    <w:p w14:paraId="053AC0C8" w14:textId="77777777" w:rsidR="00753527" w:rsidRDefault="00753527" w:rsidP="00753527">
      <w:pPr>
        <w:rPr>
          <w:rFonts w:cs="Arial"/>
          <w:sz w:val="22"/>
          <w:szCs w:val="22"/>
        </w:rPr>
      </w:pPr>
      <w:r>
        <w:rPr>
          <w:rFonts w:cs="Arial"/>
          <w:sz w:val="22"/>
          <w:szCs w:val="22"/>
        </w:rPr>
        <w:br w:type="page"/>
      </w:r>
    </w:p>
    <w:p w14:paraId="3A0274C0" w14:textId="77777777"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57707D8B" w:rsidR="00753527" w:rsidRPr="00606898"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9A4297" w:rsidRPr="009A4297">
        <w:rPr>
          <w:rFonts w:cs="Arial"/>
          <w:sz w:val="22"/>
          <w:szCs w:val="22"/>
          <w:vertAlign w:val="superscript"/>
        </w:rPr>
        <w:t>1</w:t>
      </w:r>
      <w:r w:rsidRPr="00606898">
        <w:rPr>
          <w:rFonts w:cs="Arial"/>
          <w:sz w:val="22"/>
          <w:szCs w:val="22"/>
        </w:rPr>
        <w:t xml:space="preserve"> (the Act), and you want to evict them from the Let Property.</w:t>
      </w:r>
    </w:p>
    <w:p w14:paraId="355103E4" w14:textId="77777777" w:rsidR="00753527" w:rsidRPr="00606898" w:rsidRDefault="00753527" w:rsidP="00753527">
      <w:pPr>
        <w:pBdr>
          <w:bottom w:val="single" w:sz="12" w:space="1" w:color="auto"/>
        </w:pBdr>
        <w:rPr>
          <w:rFonts w:cs="Arial"/>
          <w:sz w:val="22"/>
          <w:szCs w:val="22"/>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1985BFBE" w14:textId="77777777" w:rsidR="00753527" w:rsidRPr="00606898" w:rsidRDefault="00753527" w:rsidP="00753527">
      <w:pPr>
        <w:rPr>
          <w:rFonts w:cs="Arial"/>
          <w:sz w:val="22"/>
          <w:szCs w:val="22"/>
        </w:rPr>
      </w:pPr>
    </w:p>
    <w:p w14:paraId="3B19A52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not an employee</w:t>
      </w:r>
    </w:p>
    <w:p w14:paraId="0E916F8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753527">
      <w:pPr>
        <w:ind w:left="360"/>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must give your Sub-Tenant the relevant amount of notice.  The notice periods are:</w:t>
      </w:r>
    </w:p>
    <w:p w14:paraId="18F232E9" w14:textId="77777777" w:rsidR="00753527" w:rsidRPr="00394F1E" w:rsidRDefault="00753527" w:rsidP="00753527">
      <w:pPr>
        <w:rPr>
          <w:rFonts w:cs="Arial"/>
          <w:sz w:val="22"/>
          <w:szCs w:val="22"/>
        </w:rPr>
      </w:pPr>
    </w:p>
    <w:p w14:paraId="1E97CC3E" w14:textId="77777777" w:rsidR="00753527" w:rsidRPr="005E2055"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28 days’ notice if the Sub-Tenant has been entitled to occupy the property for six months or less.</w:t>
      </w:r>
    </w:p>
    <w:p w14:paraId="408337D2" w14:textId="77777777" w:rsidR="00753527"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84 days’ notice is required if the Sub-Tenant has been entitled to occupy the property for over six months</w:t>
      </w:r>
    </w:p>
    <w:p w14:paraId="05015034" w14:textId="77777777" w:rsidR="00753527" w:rsidRPr="005E2055" w:rsidRDefault="00753527" w:rsidP="00753527">
      <w:pPr>
        <w:rPr>
          <w:rFonts w:cs="Arial"/>
          <w:sz w:val="22"/>
          <w:szCs w:val="22"/>
        </w:rPr>
      </w:pPr>
    </w:p>
    <w:p w14:paraId="1E6E975C" w14:textId="77777777" w:rsidR="00753527" w:rsidRPr="00B7424F" w:rsidRDefault="00753527" w:rsidP="00753527">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p>
    <w:p w14:paraId="13B16E4E" w14:textId="77777777" w:rsidR="00753527" w:rsidRDefault="00753527" w:rsidP="00753527">
      <w:pPr>
        <w:pStyle w:val="ListParagraph"/>
        <w:ind w:left="0"/>
        <w:rPr>
          <w:rFonts w:cs="Arial"/>
          <w:b/>
          <w:sz w:val="22"/>
          <w:szCs w:val="22"/>
        </w:rPr>
      </w:pPr>
    </w:p>
    <w:p w14:paraId="18E15D90" w14:textId="77777777" w:rsidR="00753527" w:rsidRPr="00B7424F" w:rsidRDefault="00753527" w:rsidP="00753527">
      <w:pPr>
        <w:pStyle w:val="ListParagraph"/>
        <w:ind w:left="36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349EBE3" w14:textId="72B34329" w:rsidR="00753527" w:rsidRDefault="00753527" w:rsidP="004C08ED">
      <w:pPr>
        <w:rPr>
          <w:rFonts w:cs="Arial"/>
          <w:sz w:val="22"/>
          <w:szCs w:val="22"/>
        </w:rPr>
      </w:pPr>
    </w:p>
    <w:p w14:paraId="62247CC5" w14:textId="2CD37B97" w:rsidR="004C08ED" w:rsidRDefault="004C08ED" w:rsidP="004C08ED">
      <w:pPr>
        <w:rPr>
          <w:rFonts w:cs="Arial"/>
          <w:sz w:val="22"/>
          <w:szCs w:val="22"/>
        </w:rPr>
      </w:pPr>
    </w:p>
    <w:p w14:paraId="48392A85" w14:textId="542101EA" w:rsidR="004C08ED" w:rsidRDefault="004C08ED" w:rsidP="004C08ED">
      <w:pPr>
        <w:rPr>
          <w:rFonts w:cs="Arial"/>
          <w:sz w:val="22"/>
          <w:szCs w:val="22"/>
        </w:rPr>
      </w:pPr>
    </w:p>
    <w:p w14:paraId="1153406F" w14:textId="41DB8E4F" w:rsidR="004C08ED" w:rsidRDefault="004C08ED" w:rsidP="004C08ED">
      <w:pPr>
        <w:rPr>
          <w:rFonts w:cs="Arial"/>
          <w:sz w:val="22"/>
          <w:szCs w:val="22"/>
        </w:rPr>
      </w:pPr>
    </w:p>
    <w:p w14:paraId="1EEF3814" w14:textId="4D7C018D" w:rsidR="004C08ED" w:rsidRPr="00BF5230" w:rsidRDefault="009A4297" w:rsidP="004C08ED">
      <w:pPr>
        <w:rPr>
          <w:rFonts w:cs="Arial"/>
          <w:sz w:val="22"/>
          <w:szCs w:val="22"/>
        </w:rPr>
      </w:pPr>
      <w:r w:rsidRPr="009A4297">
        <w:rPr>
          <w:rFonts w:cs="Arial"/>
          <w:sz w:val="22"/>
          <w:szCs w:val="22"/>
          <w:vertAlign w:val="superscript"/>
        </w:rPr>
        <w:t>1</w:t>
      </w:r>
      <w:r w:rsidR="004C08ED">
        <w:rPr>
          <w:rFonts w:cs="Arial"/>
          <w:sz w:val="22"/>
          <w:szCs w:val="22"/>
        </w:rPr>
        <w:t xml:space="preserve"> </w:t>
      </w:r>
      <w:hyperlink r:id="rId16" w:history="1">
        <w:r w:rsidR="004C08ED" w:rsidRPr="00BF5230">
          <w:rPr>
            <w:rStyle w:val="Hyperlink"/>
            <w:rFonts w:cs="Arial"/>
            <w:sz w:val="22"/>
            <w:szCs w:val="22"/>
          </w:rPr>
          <w:t>http://www.legislation.gov.uk/asp/2016/19/contents/enacted</w:t>
        </w:r>
      </w:hyperlink>
      <w:r w:rsidR="004C08ED" w:rsidRPr="00BF5230">
        <w:rPr>
          <w:rFonts w:cs="Arial"/>
          <w:sz w:val="22"/>
          <w:szCs w:val="22"/>
        </w:rPr>
        <w:cr/>
      </w:r>
    </w:p>
    <w:p w14:paraId="25EB5548" w14:textId="0597C5C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lastRenderedPageBreak/>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9A4297" w:rsidRPr="009A4297">
        <w:rPr>
          <w:rFonts w:cs="Arial"/>
          <w:sz w:val="22"/>
          <w:szCs w:val="22"/>
          <w:vertAlign w:val="superscript"/>
        </w:rPr>
        <w:t>2</w:t>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753527">
      <w:pPr>
        <w:rPr>
          <w:rFonts w:cs="Arial"/>
          <w:sz w:val="22"/>
          <w:szCs w:val="22"/>
        </w:rPr>
      </w:pPr>
    </w:p>
    <w:p w14:paraId="6300A220"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753527">
      <w:pPr>
        <w:rPr>
          <w:rFonts w:cs="Arial"/>
          <w:sz w:val="22"/>
          <w:szCs w:val="22"/>
        </w:rPr>
      </w:pPr>
    </w:p>
    <w:p w14:paraId="24D8F375" w14:textId="77777777" w:rsidR="00753527" w:rsidRPr="00FD0AB3" w:rsidRDefault="00753527" w:rsidP="00753527">
      <w:pPr>
        <w:ind w:left="360"/>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753527">
      <w:pPr>
        <w:ind w:left="360"/>
        <w:rPr>
          <w:rFonts w:cs="Arial"/>
          <w:b/>
          <w:sz w:val="22"/>
          <w:szCs w:val="22"/>
        </w:rPr>
      </w:pPr>
      <w:r w:rsidRPr="00F01FB1">
        <w:rPr>
          <w:rFonts w:cs="Arial"/>
          <w:b/>
          <w:sz w:val="22"/>
          <w:szCs w:val="22"/>
        </w:rPr>
        <w:t>HOW TO GIVE THIS NOTICE</w:t>
      </w:r>
    </w:p>
    <w:p w14:paraId="78F361C8" w14:textId="77777777" w:rsidR="00753527" w:rsidRPr="00606898" w:rsidRDefault="00753527" w:rsidP="00753527">
      <w:pPr>
        <w:rPr>
          <w:rFonts w:cs="Arial"/>
          <w:sz w:val="22"/>
          <w:szCs w:val="22"/>
        </w:rPr>
      </w:pPr>
    </w:p>
    <w:p w14:paraId="2BFB2BE5"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753527">
      <w:pPr>
        <w:rPr>
          <w:rFonts w:cs="Arial"/>
          <w:sz w:val="22"/>
          <w:szCs w:val="22"/>
        </w:rPr>
      </w:pPr>
    </w:p>
    <w:p w14:paraId="0569FEE5"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handing it to them</w:t>
      </w:r>
    </w:p>
    <w:p w14:paraId="4E6451B6"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753527">
      <w:pPr>
        <w:rPr>
          <w:rFonts w:cs="Arial"/>
          <w:sz w:val="22"/>
          <w:szCs w:val="22"/>
        </w:rPr>
      </w:pPr>
    </w:p>
    <w:p w14:paraId="7D6EBC12" w14:textId="2120A0D8"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48 hour delivery time, but they must give evidence which shows the exact date they received this notice</w:t>
      </w:r>
    </w:p>
    <w:p w14:paraId="1C3205F0" w14:textId="77777777" w:rsidR="00753527" w:rsidRPr="00517214" w:rsidRDefault="00753527" w:rsidP="00753527">
      <w:pPr>
        <w:rPr>
          <w:rFonts w:cs="Arial"/>
          <w:sz w:val="22"/>
          <w:szCs w:val="22"/>
        </w:rPr>
      </w:pPr>
    </w:p>
    <w:p w14:paraId="461A845B"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For example, if you are required to give your Sub-Tenant 28 days’ notice and you send the notice to leave by recorded delivery post on 23 January, your Sub-Tenant will be expected to receive the notice on 25 January.  The 28 days' notice period will start on 25 January and end on 21 February.  If your Sub-Tenant chooses not to leave the Let Property following the expiry of the notice period, the earliest date that you can submit an application to the Tribunal for an eviction order is 22 February.</w:t>
      </w:r>
    </w:p>
    <w:p w14:paraId="02546B6F" w14:textId="77777777" w:rsidR="00753527" w:rsidRPr="00517214" w:rsidRDefault="00753527" w:rsidP="00753527">
      <w:pPr>
        <w:rPr>
          <w:rFonts w:cs="Arial"/>
          <w:sz w:val="22"/>
          <w:szCs w:val="22"/>
        </w:rPr>
      </w:pPr>
    </w:p>
    <w:p w14:paraId="7BAA22AA"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753527">
      <w:pPr>
        <w:rPr>
          <w:rFonts w:cs="Arial"/>
          <w:sz w:val="22"/>
          <w:szCs w:val="22"/>
        </w:rPr>
      </w:pPr>
    </w:p>
    <w:p w14:paraId="3ED6585E"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030A1E2" w14:textId="04EAB006" w:rsidR="00753527" w:rsidRPr="004C08ED" w:rsidRDefault="009A4297" w:rsidP="00753527">
      <w:pPr>
        <w:rPr>
          <w:rFonts w:cs="Arial"/>
          <w:sz w:val="22"/>
          <w:szCs w:val="22"/>
        </w:rPr>
      </w:pPr>
      <w:bookmarkStart w:id="1" w:name="_GoBack"/>
      <w:r w:rsidRPr="009A4297">
        <w:rPr>
          <w:rFonts w:cs="Arial"/>
          <w:sz w:val="22"/>
          <w:szCs w:val="22"/>
          <w:vertAlign w:val="superscript"/>
        </w:rPr>
        <w:t>2</w:t>
      </w:r>
      <w:bookmarkEnd w:id="1"/>
      <w:r w:rsidR="004C08ED" w:rsidRPr="004C08ED">
        <w:rPr>
          <w:rFonts w:cs="Arial"/>
          <w:sz w:val="22"/>
          <w:szCs w:val="22"/>
        </w:rPr>
        <w:t xml:space="preserve"> </w:t>
      </w:r>
      <w:hyperlink r:id="rId17" w:history="1">
        <w:r w:rsidR="004C08ED" w:rsidRPr="004C08ED">
          <w:rPr>
            <w:rStyle w:val="Hyperlink"/>
            <w:rFonts w:cs="Arial"/>
            <w:sz w:val="22"/>
            <w:szCs w:val="22"/>
          </w:rPr>
          <w:t>https://www.housingandpropertychamber.scot/</w:t>
        </w:r>
      </w:hyperlink>
    </w:p>
    <w:p w14:paraId="3C8C364A" w14:textId="77777777" w:rsidR="004C08ED" w:rsidRDefault="004C08ED" w:rsidP="00753527">
      <w:pPr>
        <w:rPr>
          <w:rFonts w:cs="Arial"/>
          <w:b/>
          <w:sz w:val="22"/>
          <w:szCs w:val="22"/>
        </w:rPr>
      </w:pPr>
    </w:p>
    <w:p w14:paraId="46AEDCFC" w14:textId="77777777" w:rsidR="004C08ED" w:rsidRDefault="004C08ED" w:rsidP="00753527">
      <w:pPr>
        <w:ind w:left="360"/>
        <w:rPr>
          <w:rFonts w:cs="Arial"/>
          <w:b/>
          <w:sz w:val="22"/>
          <w:szCs w:val="22"/>
        </w:rPr>
      </w:pPr>
    </w:p>
    <w:p w14:paraId="396704F3" w14:textId="77777777" w:rsidR="004C08ED" w:rsidRDefault="004C08ED" w:rsidP="00753527">
      <w:pPr>
        <w:ind w:left="360"/>
        <w:rPr>
          <w:rFonts w:cs="Arial"/>
          <w:b/>
          <w:sz w:val="22"/>
          <w:szCs w:val="22"/>
        </w:rPr>
      </w:pPr>
    </w:p>
    <w:p w14:paraId="68F35C69" w14:textId="77777777" w:rsidR="004C08ED" w:rsidRDefault="004C08ED" w:rsidP="00753527">
      <w:pPr>
        <w:ind w:left="360"/>
        <w:rPr>
          <w:rFonts w:cs="Arial"/>
          <w:b/>
          <w:sz w:val="22"/>
          <w:szCs w:val="22"/>
        </w:rPr>
      </w:pPr>
    </w:p>
    <w:p w14:paraId="59EB131B" w14:textId="77777777" w:rsidR="00F80D91" w:rsidRPr="00F80D91" w:rsidRDefault="00F80D91" w:rsidP="00F80D91">
      <w:pPr>
        <w:ind w:left="360"/>
        <w:rPr>
          <w:rFonts w:cs="Arial"/>
          <w:b/>
          <w:sz w:val="22"/>
          <w:szCs w:val="22"/>
        </w:rPr>
      </w:pPr>
      <w:r w:rsidRPr="00F80D91">
        <w:rPr>
          <w:rFonts w:cs="Arial"/>
          <w:b/>
          <w:sz w:val="22"/>
          <w:szCs w:val="22"/>
        </w:rPr>
        <w:lastRenderedPageBreak/>
        <w:t>THE END OF THE NOTICE PERIOD</w:t>
      </w:r>
    </w:p>
    <w:p w14:paraId="2A48E753" w14:textId="77777777" w:rsidR="00F80D91" w:rsidRPr="00F80D91" w:rsidRDefault="00F80D91" w:rsidP="00F80D91">
      <w:pPr>
        <w:ind w:left="360"/>
        <w:rPr>
          <w:rFonts w:cs="Arial"/>
          <w:b/>
          <w:sz w:val="22"/>
          <w:szCs w:val="22"/>
        </w:rPr>
      </w:pPr>
    </w:p>
    <w:p w14:paraId="49DF1FF0" w14:textId="77777777" w:rsidR="00F80D91" w:rsidRPr="00F80D91" w:rsidRDefault="00F80D91" w:rsidP="00F80D91">
      <w:pPr>
        <w:ind w:left="360"/>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F80D91">
      <w:pPr>
        <w:ind w:left="360"/>
        <w:rPr>
          <w:rFonts w:cs="Arial"/>
          <w:b/>
          <w:sz w:val="22"/>
          <w:szCs w:val="22"/>
        </w:rPr>
      </w:pPr>
    </w:p>
    <w:p w14:paraId="146C7308" w14:textId="77777777" w:rsidR="00F80D91" w:rsidRPr="00F80D91" w:rsidRDefault="00F80D91" w:rsidP="00F80D91">
      <w:pPr>
        <w:ind w:left="360"/>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F80D91">
      <w:pPr>
        <w:ind w:left="360"/>
        <w:rPr>
          <w:rFonts w:cs="Arial"/>
          <w:sz w:val="22"/>
          <w:szCs w:val="22"/>
        </w:rPr>
      </w:pPr>
    </w:p>
    <w:p w14:paraId="66145D60" w14:textId="77777777" w:rsidR="00F80D91" w:rsidRPr="00F80D91" w:rsidRDefault="00F80D91" w:rsidP="00F80D91">
      <w:pPr>
        <w:ind w:left="360"/>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F80D91">
      <w:pPr>
        <w:ind w:left="360"/>
        <w:rPr>
          <w:rFonts w:cs="Arial"/>
          <w:sz w:val="22"/>
          <w:szCs w:val="22"/>
        </w:rPr>
      </w:pPr>
    </w:p>
    <w:p w14:paraId="13DCA9A7" w14:textId="77777777" w:rsidR="00F80D91" w:rsidRPr="00F80D91" w:rsidRDefault="00F80D91" w:rsidP="00F80D91">
      <w:pPr>
        <w:ind w:left="360"/>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F80D91">
      <w:pPr>
        <w:ind w:left="360"/>
        <w:rPr>
          <w:rFonts w:cs="Arial"/>
          <w:sz w:val="22"/>
          <w:szCs w:val="22"/>
        </w:rPr>
      </w:pPr>
    </w:p>
    <w:p w14:paraId="28772AFA" w14:textId="276A160D" w:rsidR="00F80D91" w:rsidRPr="00F80D91" w:rsidRDefault="00F80D91" w:rsidP="00F80D91">
      <w:pPr>
        <w:pStyle w:val="ListParagraph"/>
        <w:numPr>
          <w:ilvl w:val="0"/>
          <w:numId w:val="32"/>
        </w:numPr>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F80D91">
      <w:pPr>
        <w:ind w:left="360"/>
        <w:jc w:val="left"/>
        <w:rPr>
          <w:rFonts w:cs="Arial"/>
          <w:sz w:val="22"/>
          <w:szCs w:val="22"/>
        </w:rPr>
      </w:pPr>
    </w:p>
    <w:p w14:paraId="09F06E4B" w14:textId="2AA8D36B" w:rsidR="00F80D91" w:rsidRPr="00F80D91" w:rsidRDefault="00F80D91" w:rsidP="00F80D91">
      <w:pPr>
        <w:pStyle w:val="ListParagraph"/>
        <w:numPr>
          <w:ilvl w:val="0"/>
          <w:numId w:val="32"/>
        </w:numPr>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F80D91">
      <w:pPr>
        <w:pBdr>
          <w:bottom w:val="single" w:sz="12" w:space="1" w:color="auto"/>
        </w:pBdr>
        <w:ind w:left="360"/>
        <w:rPr>
          <w:rFonts w:cs="Arial"/>
          <w:sz w:val="22"/>
          <w:szCs w:val="22"/>
        </w:rPr>
      </w:pPr>
    </w:p>
    <w:p w14:paraId="016B15E3" w14:textId="77777777" w:rsidR="00F80D91" w:rsidRPr="00F80D91" w:rsidRDefault="00F80D91" w:rsidP="00F80D91">
      <w:pPr>
        <w:ind w:left="360"/>
        <w:rPr>
          <w:rFonts w:cs="Arial"/>
          <w:b/>
          <w:sz w:val="22"/>
          <w:szCs w:val="22"/>
        </w:rPr>
      </w:pPr>
    </w:p>
    <w:p w14:paraId="043368E7" w14:textId="77777777" w:rsidR="00F80D91" w:rsidRPr="00F80D91" w:rsidRDefault="00F80D91" w:rsidP="00F80D91">
      <w:pPr>
        <w:ind w:left="360"/>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F80D91">
      <w:pPr>
        <w:ind w:left="360"/>
        <w:rPr>
          <w:rFonts w:cs="Arial"/>
          <w:b/>
          <w:sz w:val="22"/>
          <w:szCs w:val="22"/>
        </w:rPr>
      </w:pPr>
    </w:p>
    <w:p w14:paraId="5C34754E" w14:textId="77777777" w:rsidR="00F80D91" w:rsidRPr="00F80D91" w:rsidRDefault="00F80D91" w:rsidP="00F80D91">
      <w:pPr>
        <w:ind w:left="360"/>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F80D91">
      <w:pPr>
        <w:ind w:left="360"/>
        <w:rPr>
          <w:rFonts w:cs="Arial"/>
          <w:sz w:val="22"/>
          <w:szCs w:val="22"/>
        </w:rPr>
      </w:pPr>
    </w:p>
    <w:p w14:paraId="01D1119C" w14:textId="77777777" w:rsidR="00F80D91" w:rsidRPr="00F80D91" w:rsidRDefault="00F80D91" w:rsidP="00F80D91">
      <w:pPr>
        <w:ind w:left="360"/>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F80D91">
      <w:pPr>
        <w:pBdr>
          <w:bottom w:val="single" w:sz="12" w:space="1" w:color="auto"/>
        </w:pBdr>
        <w:ind w:left="360"/>
        <w:rPr>
          <w:rFonts w:cs="Arial"/>
          <w:sz w:val="22"/>
          <w:szCs w:val="22"/>
        </w:rPr>
      </w:pPr>
    </w:p>
    <w:p w14:paraId="04FACEC8" w14:textId="77777777" w:rsidR="00F80D91" w:rsidRDefault="00F80D91" w:rsidP="00F80D91">
      <w:pPr>
        <w:ind w:left="360"/>
        <w:rPr>
          <w:rFonts w:cs="Arial"/>
          <w:b/>
          <w:sz w:val="22"/>
          <w:szCs w:val="22"/>
        </w:rPr>
      </w:pPr>
    </w:p>
    <w:p w14:paraId="74BF3889" w14:textId="24A910EB" w:rsidR="00753527" w:rsidRPr="00754DBC" w:rsidRDefault="00753527" w:rsidP="00F80D91">
      <w:pPr>
        <w:ind w:left="360"/>
        <w:rPr>
          <w:rFonts w:cs="Arial"/>
          <w:b/>
          <w:sz w:val="22"/>
          <w:szCs w:val="22"/>
        </w:rPr>
      </w:pPr>
      <w:r w:rsidRPr="00754DBC">
        <w:rPr>
          <w:rFonts w:cs="Arial"/>
          <w:b/>
          <w:sz w:val="22"/>
          <w:szCs w:val="22"/>
        </w:rPr>
        <w:t>FURTHER GUIDANCE</w:t>
      </w:r>
    </w:p>
    <w:p w14:paraId="66E8CD03" w14:textId="77777777" w:rsidR="00753527" w:rsidRPr="00606898" w:rsidRDefault="00753527" w:rsidP="00753527">
      <w:pPr>
        <w:rPr>
          <w:rFonts w:cs="Arial"/>
          <w:sz w:val="22"/>
          <w:szCs w:val="22"/>
        </w:rPr>
      </w:pPr>
    </w:p>
    <w:p w14:paraId="0C0DE600"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753527">
      <w:pPr>
        <w:rPr>
          <w:rFonts w:cs="Arial"/>
          <w:sz w:val="22"/>
          <w:szCs w:val="22"/>
        </w:rPr>
      </w:pPr>
    </w:p>
    <w:p w14:paraId="2810B3F2"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council</w:t>
      </w:r>
    </w:p>
    <w:p w14:paraId="23D42009"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Shelter Scotland</w:t>
      </w:r>
    </w:p>
    <w:p w14:paraId="1BDDB9EF"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a solicitor</w:t>
      </w:r>
    </w:p>
    <w:p w14:paraId="4D53FE98"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8"/>
      <w:footerReference w:type="default" r:id="rId19"/>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417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4170C" w16cid:durableId="1E23F5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217D" w14:textId="77777777" w:rsidR="000F7B0B" w:rsidRDefault="000F7B0B">
      <w:pPr>
        <w:spacing w:line="240" w:lineRule="auto"/>
      </w:pPr>
      <w:r>
        <w:separator/>
      </w:r>
    </w:p>
  </w:endnote>
  <w:endnote w:type="continuationSeparator" w:id="0">
    <w:p w14:paraId="548BD976" w14:textId="77777777" w:rsidR="000F7B0B" w:rsidRDefault="000F7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A073F" w14:textId="77777777" w:rsidR="000F7B0B" w:rsidRDefault="000F7B0B">
      <w:pPr>
        <w:spacing w:line="240" w:lineRule="auto"/>
      </w:pPr>
      <w:r>
        <w:separator/>
      </w:r>
    </w:p>
  </w:footnote>
  <w:footnote w:type="continuationSeparator" w:id="0">
    <w:p w14:paraId="5DAFF529" w14:textId="77777777" w:rsidR="000F7B0B" w:rsidRDefault="000F7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2"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6"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1"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5"/>
  </w:num>
  <w:num w:numId="2">
    <w:abstractNumId w:val="0"/>
  </w:num>
  <w:num w:numId="3">
    <w:abstractNumId w:val="23"/>
  </w:num>
  <w:num w:numId="4">
    <w:abstractNumId w:val="30"/>
  </w:num>
  <w:num w:numId="5">
    <w:abstractNumId w:val="11"/>
  </w:num>
  <w:num w:numId="6">
    <w:abstractNumId w:val="8"/>
  </w:num>
  <w:num w:numId="7">
    <w:abstractNumId w:val="20"/>
  </w:num>
  <w:num w:numId="8">
    <w:abstractNumId w:val="14"/>
  </w:num>
  <w:num w:numId="9">
    <w:abstractNumId w:val="13"/>
  </w:num>
  <w:num w:numId="10">
    <w:abstractNumId w:val="7"/>
  </w:num>
  <w:num w:numId="11">
    <w:abstractNumId w:val="29"/>
  </w:num>
  <w:num w:numId="12">
    <w:abstractNumId w:val="24"/>
  </w:num>
  <w:num w:numId="13">
    <w:abstractNumId w:val="3"/>
  </w:num>
  <w:num w:numId="14">
    <w:abstractNumId w:val="21"/>
  </w:num>
  <w:num w:numId="15">
    <w:abstractNumId w:val="9"/>
  </w:num>
  <w:num w:numId="16">
    <w:abstractNumId w:val="26"/>
  </w:num>
  <w:num w:numId="17">
    <w:abstractNumId w:val="19"/>
  </w:num>
  <w:num w:numId="18">
    <w:abstractNumId w:val="16"/>
  </w:num>
  <w:num w:numId="19">
    <w:abstractNumId w:val="27"/>
  </w:num>
  <w:num w:numId="20">
    <w:abstractNumId w:val="4"/>
  </w:num>
  <w:num w:numId="21">
    <w:abstractNumId w:val="5"/>
  </w:num>
  <w:num w:numId="22">
    <w:abstractNumId w:val="15"/>
  </w:num>
  <w:num w:numId="23">
    <w:abstractNumId w:val="28"/>
  </w:num>
  <w:num w:numId="24">
    <w:abstractNumId w:val="2"/>
  </w:num>
  <w:num w:numId="25">
    <w:abstractNumId w:val="31"/>
  </w:num>
  <w:num w:numId="26">
    <w:abstractNumId w:val="22"/>
  </w:num>
  <w:num w:numId="27">
    <w:abstractNumId w:val="1"/>
  </w:num>
  <w:num w:numId="28">
    <w:abstractNumId w:val="12"/>
  </w:num>
  <w:num w:numId="29">
    <w:abstractNumId w:val="18"/>
  </w:num>
  <w:num w:numId="30">
    <w:abstractNumId w:val="6"/>
  </w:num>
  <w:num w:numId="31">
    <w:abstractNumId w:val="10"/>
  </w:num>
  <w:num w:numId="3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03B9"/>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B55AC"/>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housingandpropertychamber.scot/" TargetMode="External"/><Relationship Id="rId2" Type="http://schemas.openxmlformats.org/officeDocument/2006/relationships/customXml" Target="../customXml/item2.xml"/><Relationship Id="rId16" Type="http://schemas.openxmlformats.org/officeDocument/2006/relationships/hyperlink" Target="http://www.legislation.gov.uk/asp/2016/19/contents/enact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housingandpropertychamber.sco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4.xml><?xml version="1.0" encoding="utf-8"?>
<ds:datastoreItem xmlns:ds="http://schemas.openxmlformats.org/officeDocument/2006/customXml" ds:itemID="{10802A32-A37D-214E-B9E5-26BE401B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3494</Words>
  <Characters>19920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Beth Fraser</cp:lastModifiedBy>
  <cp:revision>19</cp:revision>
  <cp:lastPrinted>2017-04-21T11:45:00Z</cp:lastPrinted>
  <dcterms:created xsi:type="dcterms:W3CDTF">2017-11-16T09:44:00Z</dcterms:created>
  <dcterms:modified xsi:type="dcterms:W3CDTF">2019-04-12T13:55:00Z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