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1698" w14:textId="32FC8D2C" w:rsidR="004035CE" w:rsidRDefault="00DA349C" w:rsidP="000A3A1E">
      <w:pPr>
        <w:spacing w:line="480" w:lineRule="auto"/>
      </w:pPr>
      <w:r>
        <w:t>Scott Macioce</w:t>
      </w:r>
    </w:p>
    <w:p w14:paraId="3D35E464" w14:textId="77777777" w:rsidR="000A3A1E" w:rsidRDefault="00DA349C" w:rsidP="000A3A1E">
      <w:pPr>
        <w:spacing w:line="480" w:lineRule="auto"/>
      </w:pPr>
      <w:r>
        <w:t>CSD-380</w:t>
      </w:r>
    </w:p>
    <w:p w14:paraId="2D2DC441" w14:textId="4A8075D9" w:rsidR="00DA349C" w:rsidRDefault="00DA349C" w:rsidP="000A3A1E">
      <w:pPr>
        <w:spacing w:line="480" w:lineRule="auto"/>
      </w:pPr>
      <w:r>
        <w:t>Module 12.2 Compliance</w:t>
      </w:r>
    </w:p>
    <w:p w14:paraId="28FD997A" w14:textId="4FE56E5D" w:rsidR="00DA349C" w:rsidRDefault="00DA349C" w:rsidP="000A3A1E">
      <w:pPr>
        <w:pStyle w:val="Title"/>
        <w:spacing w:line="480" w:lineRule="auto"/>
        <w:jc w:val="center"/>
      </w:pPr>
      <w:r>
        <w:t>Compliance</w:t>
      </w:r>
    </w:p>
    <w:p w14:paraId="3A546CE4" w14:textId="632E1EF9" w:rsidR="000A3A1E" w:rsidRPr="000A3A1E" w:rsidRDefault="000A3A1E" w:rsidP="000A3A1E">
      <w:pPr>
        <w:pStyle w:val="Heading2"/>
        <w:spacing w:line="480" w:lineRule="auto"/>
      </w:pPr>
      <w:r w:rsidRPr="000A3A1E">
        <w:t>Introduction</w:t>
      </w:r>
    </w:p>
    <w:p w14:paraId="1D59EB70" w14:textId="383BEA84" w:rsidR="00DA349C" w:rsidRDefault="00DA349C" w:rsidP="000A3A1E">
      <w:pPr>
        <w:spacing w:line="480" w:lineRule="auto"/>
        <w:ind w:firstLine="720"/>
      </w:pPr>
      <w:r w:rsidRPr="00DA349C">
        <w:t>Compliance is essential for organizations working in regulated industries such as finance, healthcare, and government. Regulatory frameworks exist to assure security, dependability, accountability, and consumer safety.</w:t>
      </w:r>
      <w:r w:rsidR="000A3A1E">
        <w:t xml:space="preserve"> </w:t>
      </w:r>
      <w:r w:rsidR="000B6A8B">
        <w:t>T</w:t>
      </w:r>
      <w:r w:rsidR="000A3A1E" w:rsidRPr="000A3A1E">
        <w:t xml:space="preserve">he case studies Providing Compliance in Regulated Environments and Relying on Production Telemetry for ATM Systems </w:t>
      </w:r>
      <w:r w:rsidR="000B6A8B">
        <w:t>show specifically</w:t>
      </w:r>
      <w:r w:rsidR="000A3A1E" w:rsidRPr="000A3A1E">
        <w:t xml:space="preserve"> how organizations can achieve compliance standards while maintaining operational efficiency and system reliability. </w:t>
      </w:r>
      <w:r w:rsidR="000A3A1E">
        <w:t>Both</w:t>
      </w:r>
      <w:r w:rsidR="000A3A1E" w:rsidRPr="000A3A1E">
        <w:t xml:space="preserve"> case studies show that compliance should not be handled as a static checklist, but rather as an integrated, continually monitored process aided by automation, telemetry, and strong governance.</w:t>
      </w:r>
    </w:p>
    <w:p w14:paraId="5E03BCEA" w14:textId="771C6784" w:rsidR="000A3A1E" w:rsidRDefault="000A3A1E" w:rsidP="000A3A1E">
      <w:pPr>
        <w:pStyle w:val="Heading2"/>
        <w:spacing w:line="480" w:lineRule="auto"/>
      </w:pPr>
      <w:r w:rsidRPr="000A3A1E">
        <w:t>Providing Compliance in Regulated Environments</w:t>
      </w:r>
    </w:p>
    <w:p w14:paraId="2623A3F9" w14:textId="58B47EAF" w:rsidR="000A3A1E" w:rsidRDefault="000A3A1E" w:rsidP="000A3A1E">
      <w:pPr>
        <w:spacing w:line="480" w:lineRule="auto"/>
      </w:pPr>
      <w:r>
        <w:tab/>
      </w:r>
      <w:r w:rsidRPr="000A3A1E">
        <w:t xml:space="preserve">The difficulties businesses encounter when functioning in highly regulated environments are the subject of the first case study. Conventional compliance methods frequently depend on manual documentation, recurring audits, and strict controls that </w:t>
      </w:r>
      <w:r w:rsidRPr="000A3A1E">
        <w:lastRenderedPageBreak/>
        <w:t xml:space="preserve">impede operations and development. </w:t>
      </w:r>
      <w:r>
        <w:t>T</w:t>
      </w:r>
      <w:r w:rsidRPr="000A3A1E">
        <w:t>his strategy causes conflict between engineering and compliance teams, which results in inefficiencies and higher risk.</w:t>
      </w:r>
    </w:p>
    <w:p w14:paraId="2F6D1734" w14:textId="69ECC864" w:rsidR="000A3A1E" w:rsidRDefault="000A3A1E" w:rsidP="000A3A1E">
      <w:pPr>
        <w:spacing w:line="480" w:lineRule="auto"/>
      </w:pPr>
      <w:r>
        <w:tab/>
      </w:r>
      <w:r w:rsidRPr="000A3A1E">
        <w:t>One important takeaway from the case study is that rather than being applied retroactively, compliance standards can be integrated directly into workflows and systems. Organizations may guarantee that security controls, access policies, and configuration standards are applied consistently by including compliance checks into automated workflows. This strategy backs the idea of "compliance as code," in which tools rather than human intervention are used to enforce regulations. The lesson is that automation lowers the possibility of human error while simultaneously increasing compliance accuracy.</w:t>
      </w:r>
    </w:p>
    <w:p w14:paraId="4ACF6EE9" w14:textId="5984B6BC" w:rsidR="000A3A1E" w:rsidRDefault="000A3A1E" w:rsidP="000A3A1E">
      <w:pPr>
        <w:spacing w:line="480" w:lineRule="auto"/>
      </w:pPr>
      <w:r>
        <w:tab/>
      </w:r>
      <w:r w:rsidRPr="000A3A1E">
        <w:t xml:space="preserve">The importance of cooperation between the engineering, security, and compliance teams is another key takeaway. Organizations are better equipped to handle audits and regulatory changes when compliance is viewed as a shared responsibility. This strategy is supported by external standards like the NIST Cybersecurity Framework, which </w:t>
      </w:r>
      <w:r w:rsidRPr="000A3A1E">
        <w:t>promotes</w:t>
      </w:r>
      <w:r w:rsidRPr="000A3A1E">
        <w:t xml:space="preserve"> ongoing risk management as opposed to one-time evaluations</w:t>
      </w:r>
      <w:r>
        <w:t>.</w:t>
      </w:r>
    </w:p>
    <w:p w14:paraId="27FCD5EB" w14:textId="7E0D3588" w:rsidR="000A3A1E" w:rsidRDefault="000A3A1E" w:rsidP="000A3A1E">
      <w:pPr>
        <w:pStyle w:val="Heading2"/>
        <w:spacing w:line="480" w:lineRule="auto"/>
      </w:pPr>
      <w:r w:rsidRPr="000A3A1E">
        <w:t>Relying on Production Telemetry for ATM Systems</w:t>
      </w:r>
    </w:p>
    <w:p w14:paraId="2EEAA3D5" w14:textId="645FB556" w:rsidR="000A3A1E" w:rsidRDefault="000A3A1E" w:rsidP="000A3A1E">
      <w:pPr>
        <w:spacing w:line="480" w:lineRule="auto"/>
      </w:pPr>
      <w:r>
        <w:tab/>
      </w:r>
      <w:r w:rsidRPr="000A3A1E">
        <w:t>The second case study looks at how production telemetry helps ATM systems maintain dependability and compliance. ATMs function in a highly regulated financial sector where security, transaction accuracy, and uptime are crucial. According to the author, pre-production testing alone is insufficient since real-world situations can reveal problems that weren't anticipated during development.</w:t>
      </w:r>
    </w:p>
    <w:p w14:paraId="4ACD1FD0" w14:textId="14D435DA" w:rsidR="000A3A1E" w:rsidRDefault="000A3A1E" w:rsidP="000A3A1E">
      <w:pPr>
        <w:spacing w:line="480" w:lineRule="auto"/>
      </w:pPr>
      <w:r>
        <w:lastRenderedPageBreak/>
        <w:tab/>
      </w:r>
      <w:r w:rsidRPr="000A3A1E">
        <w:t>Logs, metrics, and alerts are examples of production telemetry that offers real-time visibility into system behavior. This allows businesses to identify irregularities, react swiftly to errors, and provide tangible proof of compliance. Telemetry data, for instance, can demonstrate whether systems are meeting service-level criteria, whether encryption is operating properly, and whether efforts at illegal access are taking place.</w:t>
      </w:r>
    </w:p>
    <w:p w14:paraId="4AEF11A4" w14:textId="2085A0EA" w:rsidR="000A3A1E" w:rsidRDefault="000A3A1E" w:rsidP="000A3A1E">
      <w:pPr>
        <w:spacing w:line="480" w:lineRule="auto"/>
      </w:pPr>
      <w:r>
        <w:tab/>
        <w:t>All this to say</w:t>
      </w:r>
      <w:r w:rsidRPr="000A3A1E">
        <w:t xml:space="preserve"> that reliability and compliance are closely related. Telemetry provides an auditable record of system behavior in addition to supporting operational excellence. Continuous monitoring and logging are crucial measures for safeguarding financial systems, according to regulatory requirements like PCI DSS</w:t>
      </w:r>
      <w:r>
        <w:t>.</w:t>
      </w:r>
      <w:r w:rsidRPr="000A3A1E">
        <w:t xml:space="preserve"> Instead of responding to events after the fact, firms can demonstrate compliance proactively by utilizing telemetry.</w:t>
      </w:r>
    </w:p>
    <w:p w14:paraId="783A667A" w14:textId="233AE152" w:rsidR="000A3A1E" w:rsidRDefault="000A3A1E" w:rsidP="000A3A1E">
      <w:pPr>
        <w:pStyle w:val="Heading2"/>
        <w:spacing w:line="480" w:lineRule="auto"/>
      </w:pPr>
      <w:r w:rsidRPr="000A3A1E">
        <w:t>Conclusion</w:t>
      </w:r>
    </w:p>
    <w:p w14:paraId="2E4EF7FB" w14:textId="0332F28D" w:rsidR="000A3A1E" w:rsidRDefault="000A3A1E" w:rsidP="000A3A1E">
      <w:pPr>
        <w:spacing w:line="480" w:lineRule="auto"/>
      </w:pPr>
      <w:r>
        <w:tab/>
      </w:r>
      <w:r w:rsidRPr="000A3A1E">
        <w:t>When taken as a whole, these case studies show that modern compliance is about enabling secure, dependable systems through automation and visibility rather than slowing down innovation. Organizations can satisfy regulatory requirements while preserving operational agility by integrating compliance into workflows and depending on production telemetry. The main takeaway is that compliance should be continuous, observable, and collaborative. Organizations can reduce risk, increase system dependability, and better address regulatory requirements in complex environments by implementing automation, monitoring, and shared responsibility models.</w:t>
      </w:r>
    </w:p>
    <w:p w14:paraId="256ADA64" w14:textId="458C1DCA" w:rsidR="000A3A1E" w:rsidRDefault="000A3A1E" w:rsidP="000A3A1E">
      <w:pPr>
        <w:pStyle w:val="Heading2"/>
      </w:pPr>
      <w:r>
        <w:lastRenderedPageBreak/>
        <w:t>References:</w:t>
      </w:r>
    </w:p>
    <w:p w14:paraId="1EB5E63F" w14:textId="77777777" w:rsidR="000A3A1E" w:rsidRDefault="000A3A1E" w:rsidP="000A3A1E">
      <w:r>
        <w:t>NIST. (2025). Cybersecurity Framework. National Institute of Standards and Technology. https://www.nist.gov/cyberframework</w:t>
      </w:r>
    </w:p>
    <w:p w14:paraId="66EC550E" w14:textId="77777777" w:rsidR="000A3A1E" w:rsidRDefault="000A3A1E" w:rsidP="000A3A1E">
      <w:r>
        <w:t>PCI Security Standards Council. (2024). PCI Data Security Standard (PCI DSS). PCI Security Standards Council. https://www.pcisecuritystandards.org/standards/pci-dss/</w:t>
      </w:r>
    </w:p>
    <w:p w14:paraId="338325C0" w14:textId="77777777" w:rsidR="000A3A1E" w:rsidRDefault="000A3A1E" w:rsidP="000A3A1E">
      <w:r>
        <w:t xml:space="preserve">Sharma, V. (2025, June 17). Implementing Compliance-first Observability with </w:t>
      </w:r>
      <w:proofErr w:type="spellStart"/>
      <w:r>
        <w:t>OpenTelemetry</w:t>
      </w:r>
      <w:proofErr w:type="spellEnd"/>
      <w:r>
        <w:t xml:space="preserve">. </w:t>
      </w:r>
      <w:proofErr w:type="spellStart"/>
      <w:r>
        <w:t>CloudRaft</w:t>
      </w:r>
      <w:proofErr w:type="spellEnd"/>
      <w:r>
        <w:t>. https://www.cloudraft.io/blog/implement-compliance-first-observability-opentelemetry</w:t>
      </w:r>
    </w:p>
    <w:p w14:paraId="0E38B63B" w14:textId="2088385B" w:rsidR="000A3A1E" w:rsidRPr="000A3A1E" w:rsidRDefault="000A3A1E" w:rsidP="000A3A1E">
      <w:r w:rsidRPr="000A3A1E">
        <w:t xml:space="preserve">Kim, G., Debois, P., Willis, J., Jez Humble, &amp; </w:t>
      </w:r>
      <w:proofErr w:type="spellStart"/>
      <w:r w:rsidRPr="000A3A1E">
        <w:t>Allspaw</w:t>
      </w:r>
      <w:proofErr w:type="spellEnd"/>
      <w:r w:rsidRPr="000A3A1E">
        <w:t xml:space="preserve">, J. (2021). The DevOps </w:t>
      </w:r>
      <w:proofErr w:type="gramStart"/>
      <w:r w:rsidRPr="000A3A1E">
        <w:t>handbook :</w:t>
      </w:r>
      <w:proofErr w:type="gramEnd"/>
      <w:r w:rsidRPr="000A3A1E">
        <w:t xml:space="preserve"> how to create world-class agility, reliability, &amp; security in technology organizations. It Revolution Press, </w:t>
      </w:r>
      <w:proofErr w:type="spellStart"/>
      <w:r w:rsidRPr="000A3A1E">
        <w:t>Llc</w:t>
      </w:r>
      <w:proofErr w:type="spellEnd"/>
      <w:r w:rsidRPr="000A3A1E">
        <w:t>.</w:t>
      </w:r>
    </w:p>
    <w:sectPr w:rsidR="000A3A1E" w:rsidRPr="000A3A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49C"/>
    <w:rsid w:val="000A3A1E"/>
    <w:rsid w:val="000B6A8B"/>
    <w:rsid w:val="00175A29"/>
    <w:rsid w:val="002575D3"/>
    <w:rsid w:val="003F7F6D"/>
    <w:rsid w:val="004035CE"/>
    <w:rsid w:val="00440032"/>
    <w:rsid w:val="00465818"/>
    <w:rsid w:val="0086659C"/>
    <w:rsid w:val="00DA34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37A647"/>
  <w15:chartTrackingRefBased/>
  <w15:docId w15:val="{302B5BB4-2D5C-4C0B-BE12-DB4E9637F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34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34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4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4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4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4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34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4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4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4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49C"/>
    <w:rPr>
      <w:rFonts w:eastAsiaTheme="majorEastAsia" w:cstheme="majorBidi"/>
      <w:color w:val="272727" w:themeColor="text1" w:themeTint="D8"/>
    </w:rPr>
  </w:style>
  <w:style w:type="paragraph" w:styleId="Title">
    <w:name w:val="Title"/>
    <w:basedOn w:val="Normal"/>
    <w:next w:val="Normal"/>
    <w:link w:val="TitleChar"/>
    <w:uiPriority w:val="10"/>
    <w:qFormat/>
    <w:rsid w:val="00DA3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3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3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49C"/>
    <w:pPr>
      <w:spacing w:before="160"/>
      <w:jc w:val="center"/>
    </w:pPr>
    <w:rPr>
      <w:i/>
      <w:iCs/>
      <w:color w:val="404040" w:themeColor="text1" w:themeTint="BF"/>
    </w:rPr>
  </w:style>
  <w:style w:type="character" w:customStyle="1" w:styleId="QuoteChar">
    <w:name w:val="Quote Char"/>
    <w:basedOn w:val="DefaultParagraphFont"/>
    <w:link w:val="Quote"/>
    <w:uiPriority w:val="29"/>
    <w:rsid w:val="00DA349C"/>
    <w:rPr>
      <w:i/>
      <w:iCs/>
      <w:color w:val="404040" w:themeColor="text1" w:themeTint="BF"/>
    </w:rPr>
  </w:style>
  <w:style w:type="paragraph" w:styleId="ListParagraph">
    <w:name w:val="List Paragraph"/>
    <w:basedOn w:val="Normal"/>
    <w:uiPriority w:val="34"/>
    <w:qFormat/>
    <w:rsid w:val="00DA349C"/>
    <w:pPr>
      <w:ind w:left="720"/>
      <w:contextualSpacing/>
    </w:pPr>
  </w:style>
  <w:style w:type="character" w:styleId="IntenseEmphasis">
    <w:name w:val="Intense Emphasis"/>
    <w:basedOn w:val="DefaultParagraphFont"/>
    <w:uiPriority w:val="21"/>
    <w:qFormat/>
    <w:rsid w:val="00DA349C"/>
    <w:rPr>
      <w:i/>
      <w:iCs/>
      <w:color w:val="0F4761" w:themeColor="accent1" w:themeShade="BF"/>
    </w:rPr>
  </w:style>
  <w:style w:type="paragraph" w:styleId="IntenseQuote">
    <w:name w:val="Intense Quote"/>
    <w:basedOn w:val="Normal"/>
    <w:next w:val="Normal"/>
    <w:link w:val="IntenseQuoteChar"/>
    <w:uiPriority w:val="30"/>
    <w:qFormat/>
    <w:rsid w:val="00DA34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49C"/>
    <w:rPr>
      <w:i/>
      <w:iCs/>
      <w:color w:val="0F4761" w:themeColor="accent1" w:themeShade="BF"/>
    </w:rPr>
  </w:style>
  <w:style w:type="character" w:styleId="IntenseReference">
    <w:name w:val="Intense Reference"/>
    <w:basedOn w:val="DefaultParagraphFont"/>
    <w:uiPriority w:val="32"/>
    <w:qFormat/>
    <w:rsid w:val="00DA34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Macioce</dc:creator>
  <cp:keywords/>
  <dc:description/>
  <cp:lastModifiedBy>Scott Macioce</cp:lastModifiedBy>
  <cp:revision>1</cp:revision>
  <dcterms:created xsi:type="dcterms:W3CDTF">2025-12-22T03:11:00Z</dcterms:created>
  <dcterms:modified xsi:type="dcterms:W3CDTF">2025-12-22T03:32:00Z</dcterms:modified>
</cp:coreProperties>
</file>