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B3C0" w14:textId="4E664D69" w:rsidR="008673C0" w:rsidRPr="00A4354F" w:rsidRDefault="008673C0" w:rsidP="008673C0">
      <w:pPr>
        <w:contextualSpacing/>
        <w:jc w:val="center"/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</w:pPr>
      <w:r w:rsidRPr="00A4354F"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  <w:t xml:space="preserve">READINGS FROM </w:t>
      </w:r>
      <w:r w:rsidR="00AA1C63" w:rsidRPr="00A4354F"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  <w:t>RHETORIC</w:t>
      </w:r>
      <w:r w:rsidRPr="00A4354F"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  <w:t xml:space="preserve"> </w:t>
      </w:r>
    </w:p>
    <w:p w14:paraId="1E967C1B" w14:textId="77777777" w:rsidR="00AA1C63" w:rsidRPr="00A4354F" w:rsidRDefault="008673C0" w:rsidP="008673C0">
      <w:pPr>
        <w:contextualSpacing/>
        <w:jc w:val="center"/>
        <w:rPr>
          <w:rFonts w:ascii="Times New Roman" w:hAnsi="Times New Roman" w:cs="Times New Roman"/>
          <w:b w:val="0"/>
          <w:color w:val="auto"/>
          <w:szCs w:val="24"/>
        </w:rPr>
      </w:pPr>
      <w:r w:rsidRPr="00A4354F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>T</w:t>
      </w:r>
      <w:r w:rsidR="00AA1C63" w:rsidRPr="00A4354F">
        <w:rPr>
          <w:rFonts w:ascii="Times New Roman" w:hAnsi="Times New Roman" w:cs="Times New Roman"/>
          <w:b w:val="0"/>
          <w:color w:val="auto"/>
          <w:szCs w:val="24"/>
        </w:rPr>
        <w:t xml:space="preserve">he following works (or appropriate excerpts thereof) are available in Bizzell &amp; Herzberg’s work: </w:t>
      </w:r>
      <w:r w:rsidR="00AA1C63" w:rsidRPr="00A4354F">
        <w:rPr>
          <w:rFonts w:ascii="Times New Roman" w:hAnsi="Times New Roman" w:cs="Times New Roman"/>
          <w:b w:val="0"/>
          <w:i/>
          <w:color w:val="auto"/>
          <w:szCs w:val="24"/>
        </w:rPr>
        <w:t xml:space="preserve">The Rhetorical Tradition: Readings from Classical Times to the Present. </w:t>
      </w:r>
      <w:r w:rsidR="00AA1C63" w:rsidRPr="00A4354F">
        <w:rPr>
          <w:rFonts w:ascii="Times New Roman" w:hAnsi="Times New Roman" w:cs="Times New Roman"/>
          <w:b w:val="0"/>
          <w:color w:val="auto"/>
          <w:szCs w:val="24"/>
        </w:rPr>
        <w:t>Boston; Bedford St. Martin’s, 2001. Print.</w:t>
      </w:r>
    </w:p>
    <w:p w14:paraId="0E23E9DC" w14:textId="77777777" w:rsidR="008673C0" w:rsidRPr="00A4354F" w:rsidRDefault="008673C0" w:rsidP="008673C0">
      <w:pPr>
        <w:contextualSpacing/>
        <w:jc w:val="center"/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</w:pPr>
    </w:p>
    <w:p w14:paraId="12CF4C6E" w14:textId="77777777" w:rsidR="008673C0" w:rsidRPr="00A4354F" w:rsidRDefault="008673C0" w:rsidP="008673C0">
      <w:pPr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Aristotle. </w:t>
      </w:r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>On Rhetoric</w:t>
      </w:r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. </w:t>
      </w:r>
    </w:p>
    <w:p w14:paraId="35B3D195" w14:textId="77777777" w:rsidR="008673C0" w:rsidRPr="00A4354F" w:rsidRDefault="008673C0" w:rsidP="008673C0">
      <w:pPr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Bakhtin, Mikhail. </w:t>
      </w:r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>The Problem of Speech Genres.</w:t>
      </w:r>
    </w:p>
    <w:p w14:paraId="4E7C0EC1" w14:textId="77777777" w:rsidR="008673C0" w:rsidRPr="00A4354F" w:rsidRDefault="008673C0" w:rsidP="008673C0">
      <w:pPr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Burke, Kenneth. </w:t>
      </w:r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 xml:space="preserve">Rhetoric of Motives </w:t>
      </w:r>
      <w:r w:rsidRPr="00A4354F">
        <w:rPr>
          <w:rFonts w:ascii="Times New Roman" w:hAnsi="Times New Roman" w:cs="Times New Roman"/>
          <w:b w:val="0"/>
          <w:color w:val="auto"/>
          <w:szCs w:val="24"/>
        </w:rPr>
        <w:t>and</w:t>
      </w:r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 xml:space="preserve"> Language as Symbolic Action.</w:t>
      </w:r>
    </w:p>
    <w:p w14:paraId="084EE2D9" w14:textId="77777777" w:rsidR="008673C0" w:rsidRPr="00A4354F" w:rsidRDefault="008673C0" w:rsidP="008673C0">
      <w:pPr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proofErr w:type="spellStart"/>
      <w:r w:rsidRPr="00A4354F">
        <w:rPr>
          <w:rFonts w:ascii="Times New Roman" w:hAnsi="Times New Roman" w:cs="Times New Roman"/>
          <w:b w:val="0"/>
          <w:color w:val="auto"/>
          <w:szCs w:val="24"/>
        </w:rPr>
        <w:t>Cixous</w:t>
      </w:r>
      <w:proofErr w:type="spellEnd"/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, Helene. </w:t>
      </w:r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>The Laugh of the Medusa.</w:t>
      </w:r>
    </w:p>
    <w:p w14:paraId="5561656A" w14:textId="77777777" w:rsidR="008673C0" w:rsidRPr="00A4354F" w:rsidRDefault="008673C0" w:rsidP="008673C0">
      <w:pPr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Derrida, Jacques. </w:t>
      </w:r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>Signature Event Context.</w:t>
      </w:r>
    </w:p>
    <w:p w14:paraId="147C7165" w14:textId="77777777" w:rsidR="008673C0" w:rsidRPr="00A4354F" w:rsidRDefault="008673C0" w:rsidP="008673C0">
      <w:pPr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Gates Jr., Henry Louis. </w:t>
      </w:r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 xml:space="preserve">The Signifying Monkey and the Language of </w:t>
      </w:r>
      <w:proofErr w:type="spellStart"/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>Signifyin</w:t>
      </w:r>
      <w:proofErr w:type="spellEnd"/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>(g): Rhetorical Difference and the Orders of Meaning</w:t>
      </w:r>
    </w:p>
    <w:p w14:paraId="0516FA06" w14:textId="77777777" w:rsidR="008673C0" w:rsidRDefault="008673C0" w:rsidP="008673C0">
      <w:pPr>
        <w:ind w:left="720" w:hanging="720"/>
        <w:rPr>
          <w:rFonts w:ascii="Times New Roman" w:hAnsi="Times New Roman" w:cs="Times New Roman"/>
          <w:b w:val="0"/>
          <w:i/>
          <w:color w:val="auto"/>
          <w:szCs w:val="24"/>
        </w:rPr>
      </w:pPr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Gorgias. </w:t>
      </w:r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>Encomium of Helen.</w:t>
      </w:r>
    </w:p>
    <w:p w14:paraId="5D8272D9" w14:textId="477F348E" w:rsidR="00AE0F78" w:rsidRPr="004262F1" w:rsidRDefault="00AE0F78" w:rsidP="008673C0">
      <w:pPr>
        <w:ind w:left="720" w:hanging="720"/>
        <w:rPr>
          <w:rFonts w:ascii="Times New Roman" w:hAnsi="Times New Roman" w:cs="Times New Roman"/>
          <w:b w:val="0"/>
          <w:i/>
          <w:color w:val="auto"/>
          <w:szCs w:val="24"/>
        </w:rPr>
      </w:pPr>
      <w:r>
        <w:rPr>
          <w:rFonts w:ascii="Times New Roman" w:hAnsi="Times New Roman" w:cs="Times New Roman"/>
          <w:b w:val="0"/>
          <w:color w:val="auto"/>
          <w:szCs w:val="24"/>
        </w:rPr>
        <w:t>Isocrates</w:t>
      </w:r>
      <w:r w:rsidR="004262F1">
        <w:rPr>
          <w:rFonts w:ascii="Times New Roman" w:hAnsi="Times New Roman" w:cs="Times New Roman"/>
          <w:b w:val="0"/>
          <w:color w:val="auto"/>
          <w:szCs w:val="24"/>
        </w:rPr>
        <w:t xml:space="preserve">. </w:t>
      </w:r>
      <w:r w:rsidR="004262F1">
        <w:rPr>
          <w:rFonts w:ascii="Times New Roman" w:hAnsi="Times New Roman" w:cs="Times New Roman"/>
          <w:b w:val="0"/>
          <w:i/>
          <w:color w:val="auto"/>
          <w:szCs w:val="24"/>
        </w:rPr>
        <w:t xml:space="preserve">Against the Sophists </w:t>
      </w:r>
      <w:r w:rsidR="004262F1">
        <w:rPr>
          <w:rFonts w:ascii="Times New Roman" w:hAnsi="Times New Roman" w:cs="Times New Roman"/>
          <w:b w:val="0"/>
          <w:color w:val="auto"/>
          <w:szCs w:val="24"/>
        </w:rPr>
        <w:t xml:space="preserve">and </w:t>
      </w:r>
      <w:proofErr w:type="spellStart"/>
      <w:r w:rsidR="004262F1">
        <w:rPr>
          <w:rFonts w:ascii="Times New Roman" w:hAnsi="Times New Roman" w:cs="Times New Roman"/>
          <w:b w:val="0"/>
          <w:i/>
          <w:color w:val="auto"/>
          <w:szCs w:val="24"/>
        </w:rPr>
        <w:t>Antidosis</w:t>
      </w:r>
      <w:proofErr w:type="spellEnd"/>
      <w:r w:rsidR="004262F1">
        <w:rPr>
          <w:rFonts w:ascii="Times New Roman" w:hAnsi="Times New Roman" w:cs="Times New Roman"/>
          <w:b w:val="0"/>
          <w:i/>
          <w:color w:val="auto"/>
          <w:szCs w:val="24"/>
        </w:rPr>
        <w:t>.</w:t>
      </w:r>
    </w:p>
    <w:p w14:paraId="707CD149" w14:textId="77777777" w:rsidR="00340160" w:rsidRPr="00A4354F" w:rsidRDefault="00340160" w:rsidP="00340160">
      <w:pPr>
        <w:ind w:left="720" w:hanging="720"/>
        <w:rPr>
          <w:rFonts w:ascii="Times New Roman" w:hAnsi="Times New Roman" w:cs="Times New Roman"/>
          <w:b w:val="0"/>
          <w:color w:val="auto"/>
        </w:rPr>
      </w:pPr>
      <w:r w:rsidRPr="00A4354F">
        <w:rPr>
          <w:rFonts w:ascii="Times New Roman" w:hAnsi="Times New Roman" w:cs="Times New Roman"/>
          <w:b w:val="0"/>
          <w:color w:val="auto"/>
        </w:rPr>
        <w:t xml:space="preserve">Perelman and Lucie </w:t>
      </w:r>
      <w:proofErr w:type="spellStart"/>
      <w:r w:rsidRPr="00A4354F">
        <w:rPr>
          <w:rFonts w:ascii="Times New Roman" w:hAnsi="Times New Roman" w:cs="Times New Roman"/>
          <w:b w:val="0"/>
          <w:color w:val="auto"/>
        </w:rPr>
        <w:t>Olbrechts-Tyteca</w:t>
      </w:r>
      <w:proofErr w:type="spellEnd"/>
      <w:r w:rsidRPr="00A4354F">
        <w:rPr>
          <w:rFonts w:ascii="Times New Roman" w:hAnsi="Times New Roman" w:cs="Times New Roman"/>
          <w:b w:val="0"/>
          <w:color w:val="auto"/>
        </w:rPr>
        <w:t xml:space="preserve"> </w:t>
      </w:r>
      <w:proofErr w:type="gramStart"/>
      <w:r w:rsidRPr="00A4354F">
        <w:rPr>
          <w:rFonts w:ascii="Times New Roman" w:hAnsi="Times New Roman" w:cs="Times New Roman"/>
          <w:b w:val="0"/>
          <w:i/>
          <w:color w:val="auto"/>
        </w:rPr>
        <w:t>The</w:t>
      </w:r>
      <w:proofErr w:type="gramEnd"/>
      <w:r w:rsidRPr="00A4354F">
        <w:rPr>
          <w:rFonts w:ascii="Times New Roman" w:hAnsi="Times New Roman" w:cs="Times New Roman"/>
          <w:b w:val="0"/>
          <w:i/>
          <w:color w:val="auto"/>
        </w:rPr>
        <w:t xml:space="preserve"> New Rhetoric.</w:t>
      </w:r>
    </w:p>
    <w:p w14:paraId="7F75D148" w14:textId="77777777" w:rsidR="008673C0" w:rsidRPr="00A4354F" w:rsidRDefault="008673C0" w:rsidP="008673C0">
      <w:pPr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Plato. </w:t>
      </w:r>
      <w:r w:rsidRPr="00A4354F">
        <w:rPr>
          <w:rFonts w:ascii="Times New Roman" w:hAnsi="Times New Roman" w:cs="Times New Roman"/>
          <w:b w:val="0"/>
          <w:i/>
          <w:color w:val="auto"/>
          <w:szCs w:val="24"/>
        </w:rPr>
        <w:t>Gorgias &amp; Phaedrus.</w:t>
      </w:r>
    </w:p>
    <w:p w14:paraId="65EAA96B" w14:textId="77777777" w:rsidR="008673C0" w:rsidRPr="00EA257C" w:rsidRDefault="008673C0" w:rsidP="008673C0">
      <w:pPr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</w:p>
    <w:p w14:paraId="76726E38" w14:textId="77777777" w:rsidR="00AA1C63" w:rsidRPr="00EA257C" w:rsidRDefault="00AA1C63" w:rsidP="00340160">
      <w:pPr>
        <w:contextualSpacing/>
        <w:jc w:val="center"/>
        <w:rPr>
          <w:rFonts w:ascii="Times New Roman" w:hAnsi="Times New Roman" w:cs="Times New Roman"/>
          <w:b w:val="0"/>
          <w:i/>
          <w:color w:val="auto"/>
          <w:szCs w:val="24"/>
        </w:rPr>
      </w:pPr>
      <w:r w:rsidRPr="00EA257C">
        <w:rPr>
          <w:rFonts w:ascii="Times New Roman" w:hAnsi="Times New Roman" w:cs="Times New Roman"/>
          <w:b w:val="0"/>
          <w:i/>
          <w:color w:val="auto"/>
          <w:szCs w:val="24"/>
        </w:rPr>
        <w:t xml:space="preserve">The following additional works of rhetoric feature full citations, since they do not appear in </w:t>
      </w:r>
      <w:r w:rsidRPr="00EA257C">
        <w:rPr>
          <w:rFonts w:ascii="Times New Roman" w:hAnsi="Times New Roman" w:cs="Times New Roman"/>
          <w:b w:val="0"/>
          <w:color w:val="auto"/>
          <w:szCs w:val="24"/>
        </w:rPr>
        <w:t>The Rhetorical Tradition</w:t>
      </w:r>
      <w:r w:rsidRPr="00EA257C">
        <w:rPr>
          <w:rFonts w:ascii="Times New Roman" w:hAnsi="Times New Roman" w:cs="Times New Roman"/>
          <w:b w:val="0"/>
          <w:i/>
          <w:color w:val="auto"/>
          <w:szCs w:val="24"/>
        </w:rPr>
        <w:t>:</w:t>
      </w:r>
    </w:p>
    <w:p w14:paraId="1EFB6051" w14:textId="77777777" w:rsidR="00340160" w:rsidRPr="00EA257C" w:rsidRDefault="00340160" w:rsidP="008673C0">
      <w:pPr>
        <w:ind w:left="720" w:hanging="720"/>
        <w:contextualSpacing/>
        <w:rPr>
          <w:rFonts w:ascii="Times New Roman" w:hAnsi="Times New Roman" w:cs="Times New Roman"/>
          <w:b w:val="0"/>
          <w:i/>
          <w:color w:val="auto"/>
          <w:szCs w:val="24"/>
        </w:rPr>
      </w:pPr>
    </w:p>
    <w:p w14:paraId="2CAAD493" w14:textId="68286057" w:rsidR="00AE0F78" w:rsidRPr="00EA257C" w:rsidRDefault="008673C0" w:rsidP="00AE0F78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</w:pPr>
      <w:r w:rsidRPr="00EA257C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Berlin, James. “Rhetoric and Ideology in the Writing Class.” </w:t>
      </w:r>
      <w:r w:rsidRPr="00EA257C">
        <w:rPr>
          <w:rFonts w:ascii="Times New Roman" w:eastAsia="Times New Roman" w:hAnsi="Times New Roman" w:cs="Times New Roman"/>
          <w:b w:val="0"/>
          <w:i/>
          <w:color w:val="auto"/>
          <w:szCs w:val="24"/>
          <w:shd w:val="clear" w:color="auto" w:fill="FFFFFF"/>
        </w:rPr>
        <w:t>College English</w:t>
      </w:r>
      <w:r w:rsidRPr="00EA257C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 50 (1998): </w:t>
      </w:r>
      <w:r w:rsidR="009A36EA" w:rsidRPr="00EA257C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>477-494.</w:t>
      </w:r>
      <w:r w:rsidR="00EA257C" w:rsidRPr="00EA257C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 Print.</w:t>
      </w:r>
    </w:p>
    <w:p w14:paraId="67D9A345" w14:textId="55DDA222" w:rsidR="00EA257C" w:rsidRPr="00EA257C" w:rsidRDefault="00EA257C" w:rsidP="00AE0F78">
      <w:pPr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r w:rsidRPr="00EA257C">
        <w:rPr>
          <w:rFonts w:ascii="Times New Roman" w:hAnsi="Times New Roman" w:cs="Times New Roman"/>
          <w:b w:val="0"/>
          <w:color w:val="222222"/>
          <w:szCs w:val="24"/>
          <w:lang w:val="en"/>
        </w:rPr>
        <w:t>Glenn, Cheryl. “Silence: A Rhetorical Art for Resisting Discipline(s)</w:t>
      </w:r>
      <w:r>
        <w:rPr>
          <w:rFonts w:ascii="Times New Roman" w:hAnsi="Times New Roman" w:cs="Times New Roman"/>
          <w:b w:val="0"/>
          <w:color w:val="222222"/>
          <w:szCs w:val="24"/>
          <w:lang w:val="en"/>
        </w:rPr>
        <w:t>.</w:t>
      </w:r>
      <w:r w:rsidRPr="00EA257C">
        <w:rPr>
          <w:rFonts w:ascii="Times New Roman" w:hAnsi="Times New Roman" w:cs="Times New Roman"/>
          <w:b w:val="0"/>
          <w:color w:val="222222"/>
          <w:szCs w:val="24"/>
          <w:lang w:val="en"/>
        </w:rPr>
        <w:t xml:space="preserve">” </w:t>
      </w:r>
      <w:r w:rsidR="00FE2228">
        <w:rPr>
          <w:rFonts w:ascii="Times New Roman" w:hAnsi="Times New Roman" w:cs="Times New Roman"/>
          <w:b w:val="0"/>
          <w:i/>
          <w:iCs/>
          <w:color w:val="222222"/>
          <w:szCs w:val="24"/>
          <w:lang w:val="en"/>
        </w:rPr>
        <w:t>Journal of Advanced Composition</w:t>
      </w:r>
      <w:r w:rsidRPr="00EA257C">
        <w:rPr>
          <w:rFonts w:ascii="Times New Roman" w:hAnsi="Times New Roman" w:cs="Times New Roman"/>
          <w:b w:val="0"/>
          <w:color w:val="222222"/>
          <w:szCs w:val="24"/>
          <w:lang w:val="en"/>
        </w:rPr>
        <w:t xml:space="preserve"> 22.2 (2002): 261–291. Print.</w:t>
      </w:r>
    </w:p>
    <w:p w14:paraId="42D85668" w14:textId="77777777" w:rsidR="00A4354F" w:rsidRPr="00EA257C" w:rsidRDefault="00A4354F" w:rsidP="008673C0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</w:pPr>
    </w:p>
    <w:p w14:paraId="51E80DCD" w14:textId="77777777" w:rsidR="0063349F" w:rsidRPr="00EA257C" w:rsidRDefault="0063349F" w:rsidP="008673C0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</w:pPr>
    </w:p>
    <w:p w14:paraId="0077B86A" w14:textId="77777777" w:rsidR="00AA1C63" w:rsidRDefault="008673C0" w:rsidP="008673C0">
      <w:pPr>
        <w:contextualSpacing/>
        <w:jc w:val="center"/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</w:pPr>
      <w:r w:rsidRPr="00A4354F"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  <w:t xml:space="preserve">READINGS FROM </w:t>
      </w:r>
      <w:r w:rsidR="00AA1C63" w:rsidRPr="00A4354F"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  <w:t>COMPOSITION</w:t>
      </w:r>
    </w:p>
    <w:p w14:paraId="784BF9D6" w14:textId="0A70A35B" w:rsidR="0063349F" w:rsidRPr="00B21C9E" w:rsidRDefault="0063349F" w:rsidP="0063349F">
      <w:pPr>
        <w:contextualSpacing/>
        <w:jc w:val="center"/>
        <w:rPr>
          <w:rFonts w:ascii="Times New Roman" w:hAnsi="Times New Roman" w:cs="Times New Roman"/>
          <w:b w:val="0"/>
          <w:color w:val="auto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>Many of t</w:t>
      </w:r>
      <w:r w:rsidRPr="00A4354F">
        <w:rPr>
          <w:rFonts w:ascii="Times New Roman" w:hAnsi="Times New Roman" w:cs="Times New Roman"/>
          <w:b w:val="0"/>
          <w:color w:val="auto"/>
          <w:szCs w:val="24"/>
        </w:rPr>
        <w:t xml:space="preserve">he following works (or appropriate excerpts thereof) are </w:t>
      </w:r>
      <w:r>
        <w:rPr>
          <w:rFonts w:ascii="Times New Roman" w:hAnsi="Times New Roman" w:cs="Times New Roman"/>
          <w:b w:val="0"/>
          <w:color w:val="auto"/>
          <w:szCs w:val="24"/>
        </w:rPr>
        <w:t xml:space="preserve">widely available in composition anthologies. Since different instructors may select different anthologies, full citation information is provided here so that students may locate individual articles as 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>needed.</w:t>
      </w:r>
    </w:p>
    <w:p w14:paraId="3A2353A0" w14:textId="77777777" w:rsidR="0063349F" w:rsidRPr="00B21C9E" w:rsidRDefault="0063349F" w:rsidP="008673C0">
      <w:pPr>
        <w:contextualSpacing/>
        <w:jc w:val="center"/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</w:pPr>
    </w:p>
    <w:p w14:paraId="3D4B8889" w14:textId="77777777" w:rsidR="0063349F" w:rsidRPr="00B21C9E" w:rsidRDefault="0063349F" w:rsidP="0063349F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</w:pP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Alexander, Jonathan, and William P. Banks. “Sexualities, Technologies, and the Teaching of Writing: A Critical Overview.” </w:t>
      </w:r>
      <w:r w:rsidRPr="00EA257C">
        <w:rPr>
          <w:rFonts w:ascii="Times New Roman" w:eastAsia="Times New Roman" w:hAnsi="Times New Roman" w:cs="Times New Roman"/>
          <w:b w:val="0"/>
          <w:i/>
          <w:color w:val="auto"/>
          <w:szCs w:val="24"/>
          <w:shd w:val="clear" w:color="auto" w:fill="FFFFFF"/>
        </w:rPr>
        <w:t>Computers and Composition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 21 (2004): 273-293. Web.</w:t>
      </w:r>
    </w:p>
    <w:p w14:paraId="15C1C0C5" w14:textId="77777777" w:rsidR="0063349F" w:rsidRPr="00B21C9E" w:rsidRDefault="0063349F" w:rsidP="004262F1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Bartholomae, David. “Inventing the University.”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 xml:space="preserve">When a Writer </w:t>
      </w:r>
      <w:proofErr w:type="gramStart"/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>Can’t</w:t>
      </w:r>
      <w:proofErr w:type="gramEnd"/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 xml:space="preserve"> Write: Studies in Writer’s Block and Other Composing Problems. 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>Ed. Mike Rose. New York: The Guilford Press, 1985. 403-417. Print.</w:t>
      </w:r>
    </w:p>
    <w:p w14:paraId="450D069B" w14:textId="1BFC46E0" w:rsidR="0063349F" w:rsidRPr="00B21C9E" w:rsidRDefault="0063349F" w:rsidP="00340160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</w:pPr>
      <w:proofErr w:type="spellStart"/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>Bawarshi</w:t>
      </w:r>
      <w:proofErr w:type="spellEnd"/>
      <w:r w:rsidR="00EA257C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>, Anis.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 xml:space="preserve"> “The Genre Function.” </w:t>
      </w:r>
      <w:r w:rsidRPr="00B21C9E">
        <w:rPr>
          <w:rFonts w:ascii="Times New Roman" w:eastAsia="Times New Roman" w:hAnsi="Times New Roman" w:cs="Times New Roman"/>
          <w:b w:val="0"/>
          <w:i/>
          <w:color w:val="auto"/>
          <w:szCs w:val="24"/>
          <w:lang w:eastAsia="en-US"/>
        </w:rPr>
        <w:t>College English</w:t>
      </w:r>
      <w:r w:rsidR="00EA257C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 xml:space="preserve"> 62.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>3 (</w:t>
      </w:r>
      <w:r w:rsidR="00EA257C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>2000):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 xml:space="preserve"> 335-360. Print.</w:t>
      </w:r>
    </w:p>
    <w:p w14:paraId="1FC33543" w14:textId="29B4A3E3" w:rsidR="0063349F" w:rsidRPr="00B21C9E" w:rsidRDefault="0063349F" w:rsidP="004262F1">
      <w:pPr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proofErr w:type="spellStart"/>
      <w:r w:rsidRPr="00B21C9E">
        <w:rPr>
          <w:rFonts w:ascii="Times New Roman" w:hAnsi="Times New Roman" w:cs="Times New Roman"/>
          <w:b w:val="0"/>
          <w:color w:val="auto"/>
          <w:szCs w:val="24"/>
        </w:rPr>
        <w:t>Bruffee</w:t>
      </w:r>
      <w:proofErr w:type="spellEnd"/>
      <w:r w:rsidRPr="00B21C9E">
        <w:rPr>
          <w:rFonts w:ascii="Times New Roman" w:hAnsi="Times New Roman" w:cs="Times New Roman"/>
          <w:b w:val="0"/>
          <w:color w:val="auto"/>
          <w:szCs w:val="24"/>
        </w:rPr>
        <w:t>,</w:t>
      </w:r>
      <w:r w:rsidR="00EA257C">
        <w:rPr>
          <w:rFonts w:ascii="Times New Roman" w:hAnsi="Times New Roman" w:cs="Times New Roman"/>
          <w:b w:val="0"/>
          <w:color w:val="auto"/>
          <w:szCs w:val="24"/>
        </w:rPr>
        <w:t xml:space="preserve"> Kenneth.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“Collaborative Learning and the ‘Conversation of Mankind.’” </w:t>
      </w:r>
      <w:r w:rsidR="00EA257C">
        <w:rPr>
          <w:rFonts w:ascii="Times New Roman" w:hAnsi="Times New Roman" w:cs="Times New Roman"/>
          <w:b w:val="0"/>
          <w:i/>
          <w:color w:val="auto"/>
          <w:szCs w:val="24"/>
        </w:rPr>
        <w:t>College English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 xml:space="preserve"> 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46.7 (1984): 635-652. Print. </w:t>
      </w:r>
    </w:p>
    <w:p w14:paraId="1EDF13B9" w14:textId="22E300B3" w:rsidR="0063349F" w:rsidRPr="00B21C9E" w:rsidRDefault="0063349F" w:rsidP="00340160">
      <w:pPr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proofErr w:type="spellStart"/>
      <w:r w:rsidRPr="00B21C9E">
        <w:rPr>
          <w:rFonts w:ascii="Times New Roman" w:hAnsi="Times New Roman" w:cs="Times New Roman"/>
          <w:b w:val="0"/>
          <w:color w:val="auto"/>
          <w:szCs w:val="24"/>
        </w:rPr>
        <w:t>Canagarajah</w:t>
      </w:r>
      <w:proofErr w:type="spellEnd"/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, Suresh. “The Place of World </w:t>
      </w:r>
      <w:proofErr w:type="spellStart"/>
      <w:r w:rsidRPr="00B21C9E">
        <w:rPr>
          <w:rFonts w:ascii="Times New Roman" w:hAnsi="Times New Roman" w:cs="Times New Roman"/>
          <w:b w:val="0"/>
          <w:color w:val="auto"/>
          <w:szCs w:val="24"/>
        </w:rPr>
        <w:t>Englishes</w:t>
      </w:r>
      <w:proofErr w:type="spellEnd"/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in Composition: Pluralization Continued.”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>College Composition and Communication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57.4 (2006): 586-619.</w:t>
      </w:r>
      <w:r w:rsidR="00EA257C">
        <w:rPr>
          <w:rFonts w:ascii="Times New Roman" w:hAnsi="Times New Roman" w:cs="Times New Roman"/>
          <w:b w:val="0"/>
          <w:color w:val="auto"/>
          <w:szCs w:val="24"/>
        </w:rPr>
        <w:t xml:space="preserve"> Print.</w:t>
      </w:r>
    </w:p>
    <w:p w14:paraId="6F046583" w14:textId="77777777" w:rsidR="0063349F" w:rsidRPr="00B21C9E" w:rsidRDefault="0063349F" w:rsidP="00340160">
      <w:pPr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Devitt, Amy. </w:t>
      </w:r>
      <w:r w:rsidRPr="00B21C9E">
        <w:rPr>
          <w:rFonts w:ascii="Times New Roman" w:hAnsi="Times New Roman" w:cs="Times New Roman"/>
          <w:b w:val="0"/>
          <w:iCs/>
          <w:color w:val="auto"/>
          <w:szCs w:val="24"/>
        </w:rPr>
        <w:t xml:space="preserve">“Generalizing About Genre: New Conceptions of an Old Concept.” </w:t>
      </w:r>
      <w:r w:rsidRPr="00B21C9E">
        <w:rPr>
          <w:rFonts w:ascii="Times New Roman" w:hAnsi="Times New Roman" w:cs="Times New Roman"/>
          <w:b w:val="0"/>
          <w:i/>
          <w:iCs/>
          <w:color w:val="auto"/>
          <w:szCs w:val="24"/>
        </w:rPr>
        <w:t>College Composition and Communication</w:t>
      </w:r>
      <w:r w:rsidRPr="00B21C9E">
        <w:rPr>
          <w:rFonts w:ascii="Times New Roman" w:hAnsi="Times New Roman" w:cs="Times New Roman"/>
          <w:b w:val="0"/>
          <w:iCs/>
          <w:color w:val="auto"/>
          <w:szCs w:val="24"/>
        </w:rPr>
        <w:t xml:space="preserve"> 44.4 (1993): 573-586. Print.</w:t>
      </w:r>
    </w:p>
    <w:p w14:paraId="16B75378" w14:textId="52EB2567" w:rsidR="0063349F" w:rsidRPr="00B21C9E" w:rsidRDefault="0063349F" w:rsidP="00733B2A">
      <w:pPr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Ede, </w:t>
      </w:r>
      <w:proofErr w:type="gramStart"/>
      <w:r w:rsidRPr="00B21C9E">
        <w:rPr>
          <w:rFonts w:ascii="Times New Roman" w:hAnsi="Times New Roman" w:cs="Times New Roman"/>
          <w:b w:val="0"/>
          <w:color w:val="auto"/>
          <w:szCs w:val="24"/>
        </w:rPr>
        <w:t>Lisa</w:t>
      </w:r>
      <w:proofErr w:type="gramEnd"/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and Andrea Lunsford</w:t>
      </w:r>
      <w:r w:rsidR="00EA257C">
        <w:rPr>
          <w:rFonts w:ascii="Times New Roman" w:hAnsi="Times New Roman" w:cs="Times New Roman"/>
          <w:b w:val="0"/>
          <w:color w:val="auto"/>
          <w:szCs w:val="24"/>
        </w:rPr>
        <w:t>.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“Audience Addressed/Audience Invoked: The Role of Audience in Composition Theory and Pedagogy</w:t>
      </w:r>
      <w:r w:rsidR="00EA257C">
        <w:rPr>
          <w:rFonts w:ascii="Times New Roman" w:hAnsi="Times New Roman" w:cs="Times New Roman"/>
          <w:b w:val="0"/>
          <w:color w:val="auto"/>
          <w:szCs w:val="24"/>
        </w:rPr>
        <w:t>.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” </w:t>
      </w:r>
      <w:r w:rsidRPr="00EA257C">
        <w:rPr>
          <w:rFonts w:ascii="Times New Roman" w:hAnsi="Times New Roman" w:cs="Times New Roman"/>
          <w:b w:val="0"/>
          <w:i/>
          <w:color w:val="auto"/>
          <w:szCs w:val="24"/>
        </w:rPr>
        <w:t>College Composition and Communication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35 (1984): 140-54. Print.</w:t>
      </w:r>
    </w:p>
    <w:p w14:paraId="1209E642" w14:textId="77777777" w:rsidR="0063349F" w:rsidRPr="00B21C9E" w:rsidRDefault="0063349F" w:rsidP="00340160">
      <w:pPr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lastRenderedPageBreak/>
        <w:t xml:space="preserve">Elbow, Peter. “Closing My Eyes as I Speak: An Argument for Ignoring Audience.”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>College English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49.1 (1987): 50-69. Print.</w:t>
      </w:r>
    </w:p>
    <w:p w14:paraId="20D32647" w14:textId="5146DD14" w:rsidR="0063349F" w:rsidRPr="00B21C9E" w:rsidRDefault="0063349F" w:rsidP="0063349F">
      <w:pPr>
        <w:ind w:left="720" w:hanging="720"/>
        <w:rPr>
          <w:rFonts w:ascii="Times New Roman" w:hAnsi="Times New Roman" w:cs="Times New Roman"/>
          <w:b w:val="0"/>
          <w:i/>
          <w:color w:val="FF0000"/>
          <w:szCs w:val="24"/>
        </w:rPr>
      </w:pPr>
      <w:proofErr w:type="spellStart"/>
      <w:r w:rsidRPr="00B21C9E">
        <w:rPr>
          <w:rFonts w:ascii="Times New Roman" w:hAnsi="Times New Roman" w:cs="Times New Roman"/>
          <w:b w:val="0"/>
          <w:color w:val="auto"/>
          <w:szCs w:val="24"/>
        </w:rPr>
        <w:t>Emig</w:t>
      </w:r>
      <w:proofErr w:type="spellEnd"/>
      <w:r w:rsidRPr="00B21C9E">
        <w:rPr>
          <w:rFonts w:ascii="Times New Roman" w:hAnsi="Times New Roman" w:cs="Times New Roman"/>
          <w:b w:val="0"/>
          <w:color w:val="auto"/>
          <w:szCs w:val="24"/>
        </w:rPr>
        <w:t>,</w:t>
      </w:r>
      <w:r w:rsidR="00EA257C">
        <w:rPr>
          <w:rFonts w:ascii="Times New Roman" w:hAnsi="Times New Roman" w:cs="Times New Roman"/>
          <w:b w:val="0"/>
          <w:color w:val="auto"/>
          <w:szCs w:val="24"/>
        </w:rPr>
        <w:t xml:space="preserve"> Janet.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“The Composing Process of 12</w:t>
      </w:r>
      <w:r w:rsidRPr="00B21C9E">
        <w:rPr>
          <w:rFonts w:ascii="Times New Roman" w:hAnsi="Times New Roman" w:cs="Times New Roman"/>
          <w:b w:val="0"/>
          <w:color w:val="auto"/>
          <w:szCs w:val="24"/>
          <w:vertAlign w:val="superscript"/>
        </w:rPr>
        <w:t>th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Graders.”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 xml:space="preserve">The Composing Process of Twelfth </w:t>
      </w:r>
      <w:r w:rsidR="00EA257C">
        <w:rPr>
          <w:rFonts w:ascii="Times New Roman" w:hAnsi="Times New Roman" w:cs="Times New Roman"/>
          <w:b w:val="0"/>
          <w:i/>
          <w:color w:val="auto"/>
          <w:szCs w:val="24"/>
        </w:rPr>
        <w:t>Graders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 xml:space="preserve"> 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>Urbana, IL: National Council of Teachers of English, 1971. Print. (*</w:t>
      </w:r>
      <w:r w:rsidRPr="00EA257C">
        <w:rPr>
          <w:rFonts w:ascii="Times New Roman" w:hAnsi="Times New Roman" w:cs="Times New Roman"/>
          <w:b w:val="0"/>
          <w:i/>
          <w:color w:val="auto"/>
          <w:szCs w:val="24"/>
        </w:rPr>
        <w:t>Appropriate excerpts are widely available in composition anthologies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>.)</w:t>
      </w:r>
    </w:p>
    <w:p w14:paraId="5F704363" w14:textId="77777777" w:rsidR="0063349F" w:rsidRPr="00B21C9E" w:rsidRDefault="0063349F" w:rsidP="00A4354F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Flower, Linda, and John R. Hayes. “A Cognitive Process Theory of Writing.”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>College Composition and Communication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32.4 (1981): 365–87. Print.</w:t>
      </w:r>
    </w:p>
    <w:p w14:paraId="70D625BF" w14:textId="79B344AC" w:rsidR="0063349F" w:rsidRPr="00B21C9E" w:rsidRDefault="00FE2228" w:rsidP="00340160">
      <w:pPr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r>
        <w:rPr>
          <w:rFonts w:ascii="Times New Roman" w:hAnsi="Times New Roman" w:cs="Times New Roman"/>
          <w:b w:val="0"/>
          <w:color w:val="auto"/>
          <w:szCs w:val="24"/>
        </w:rPr>
        <w:t xml:space="preserve">Horner, Bruce. “Introduction: From ‘English Only’ to Cross Language Relations in Composition.” </w:t>
      </w:r>
      <w:r w:rsidR="0063349F" w:rsidRPr="00B21C9E">
        <w:rPr>
          <w:rFonts w:ascii="Times New Roman" w:hAnsi="Times New Roman" w:cs="Times New Roman"/>
          <w:b w:val="0"/>
          <w:i/>
          <w:color w:val="auto"/>
          <w:szCs w:val="24"/>
        </w:rPr>
        <w:t>Cross Language Relations in Composition.</w:t>
      </w:r>
      <w:r w:rsidR="0063349F"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Cs w:val="24"/>
        </w:rPr>
        <w:t>Eds. Bruce Horner, Min Lu, and Paul Matsuda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. </w:t>
      </w:r>
      <w:r w:rsidR="0063349F" w:rsidRPr="00B21C9E">
        <w:rPr>
          <w:rFonts w:ascii="Times New Roman" w:hAnsi="Times New Roman" w:cs="Times New Roman"/>
          <w:b w:val="0"/>
          <w:color w:val="auto"/>
          <w:szCs w:val="24"/>
        </w:rPr>
        <w:t>Carbondale: Southern Illinois UP, 2010.</w:t>
      </w:r>
      <w:r>
        <w:rPr>
          <w:rFonts w:ascii="Times New Roman" w:hAnsi="Times New Roman" w:cs="Times New Roman"/>
          <w:b w:val="0"/>
          <w:color w:val="auto"/>
          <w:szCs w:val="24"/>
        </w:rPr>
        <w:t xml:space="preserve"> Print.</w:t>
      </w:r>
    </w:p>
    <w:p w14:paraId="62730918" w14:textId="77777777" w:rsidR="0063349F" w:rsidRPr="00B21C9E" w:rsidRDefault="0063349F" w:rsidP="0063349F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</w:pPr>
      <w:proofErr w:type="spellStart"/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>Huot</w:t>
      </w:r>
      <w:proofErr w:type="spellEnd"/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, Brian. (Re)Articulating Writing Assessment for Teaching and Learning. (2002): Utah State University Press. </w:t>
      </w:r>
      <w:hyperlink r:id="rId8" w:history="1">
        <w:r w:rsidRPr="00B21C9E">
          <w:rPr>
            <w:rStyle w:val="Hyperlink"/>
            <w:rFonts w:ascii="Times New Roman" w:eastAsia="Times New Roman" w:hAnsi="Times New Roman" w:cs="Times New Roman"/>
            <w:b w:val="0"/>
            <w:szCs w:val="24"/>
            <w:shd w:val="clear" w:color="auto" w:fill="FFFFFF"/>
          </w:rPr>
          <w:t>http://digitalcommons.usu.edu/usupress_pubs/137</w:t>
        </w:r>
      </w:hyperlink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. Chapters 1-3. </w:t>
      </w:r>
    </w:p>
    <w:p w14:paraId="7230CF88" w14:textId="6D5E7597" w:rsidR="0063349F" w:rsidRPr="00B21C9E" w:rsidRDefault="0063349F" w:rsidP="00733B2A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</w:pP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 xml:space="preserve">Lunsford, Andrea. “Cognitive Development and the Basic Writer.” </w:t>
      </w:r>
      <w:r w:rsidRPr="00B21C9E">
        <w:rPr>
          <w:rFonts w:ascii="Times New Roman" w:eastAsia="Times New Roman" w:hAnsi="Times New Roman" w:cs="Times New Roman"/>
          <w:b w:val="0"/>
          <w:i/>
          <w:color w:val="auto"/>
          <w:szCs w:val="24"/>
          <w:lang w:eastAsia="en-US"/>
        </w:rPr>
        <w:t>College English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 xml:space="preserve"> 41 (1979):</w:t>
      </w:r>
      <w:r w:rsidR="00FE2228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 xml:space="preserve"> 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>38-46. Print.</w:t>
      </w:r>
    </w:p>
    <w:p w14:paraId="5596913C" w14:textId="24359072" w:rsidR="0063349F" w:rsidRPr="00B21C9E" w:rsidRDefault="0063349F" w:rsidP="00340160">
      <w:pPr>
        <w:ind w:left="720" w:hanging="720"/>
        <w:rPr>
          <w:rFonts w:ascii="Times New Roman" w:hAnsi="Times New Roman" w:cs="Times New Roman"/>
          <w:b w:val="0"/>
          <w:iCs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Matsuda, </w:t>
      </w:r>
      <w:r w:rsidR="00FE2228">
        <w:rPr>
          <w:rFonts w:ascii="Times New Roman" w:hAnsi="Times New Roman" w:cs="Times New Roman"/>
          <w:b w:val="0"/>
          <w:color w:val="auto"/>
          <w:szCs w:val="24"/>
        </w:rPr>
        <w:t xml:space="preserve">Paul Kei. 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“Composition Studies and ESL Writing.”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>College Composition and Communication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50.4 (1999): 699-721. Print.</w:t>
      </w:r>
    </w:p>
    <w:p w14:paraId="0C4E9C51" w14:textId="77777777" w:rsidR="0063349F" w:rsidRPr="00B21C9E" w:rsidRDefault="0063349F" w:rsidP="00340160">
      <w:pPr>
        <w:ind w:left="720" w:hanging="720"/>
        <w:contextualSpacing/>
        <w:rPr>
          <w:rStyle w:val="st"/>
          <w:rFonts w:ascii="Times New Roman" w:hAnsi="Times New Roman" w:cs="Times New Roman"/>
          <w:b w:val="0"/>
          <w:color w:val="auto"/>
          <w:szCs w:val="24"/>
        </w:rPr>
      </w:pPr>
      <w:r w:rsidRPr="00B21C9E">
        <w:rPr>
          <w:rStyle w:val="st"/>
          <w:rFonts w:ascii="Times New Roman" w:hAnsi="Times New Roman" w:cs="Times New Roman"/>
          <w:b w:val="0"/>
          <w:color w:val="auto"/>
          <w:szCs w:val="24"/>
        </w:rPr>
        <w:t xml:space="preserve">Matsuda, Paul Kei. “The Myth of Linguistic Homogeneity in U.S. College Composition.” </w:t>
      </w:r>
      <w:r w:rsidRPr="00B21C9E">
        <w:rPr>
          <w:rStyle w:val="st"/>
          <w:rFonts w:ascii="Times New Roman" w:hAnsi="Times New Roman" w:cs="Times New Roman"/>
          <w:b w:val="0"/>
          <w:i/>
          <w:color w:val="auto"/>
          <w:szCs w:val="24"/>
        </w:rPr>
        <w:t>College English</w:t>
      </w:r>
      <w:r w:rsidRPr="00B21C9E">
        <w:rPr>
          <w:rStyle w:val="st"/>
          <w:rFonts w:ascii="Times New Roman" w:hAnsi="Times New Roman" w:cs="Times New Roman"/>
          <w:b w:val="0"/>
          <w:color w:val="auto"/>
          <w:szCs w:val="24"/>
        </w:rPr>
        <w:t xml:space="preserve"> 68.6 (2006): 637-51. Print.</w:t>
      </w:r>
    </w:p>
    <w:p w14:paraId="3ECF8A05" w14:textId="77777777" w:rsidR="0063349F" w:rsidRPr="00B21C9E" w:rsidRDefault="0063349F" w:rsidP="003401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>Miller, Carolyn R. “</w:t>
      </w:r>
      <w:r w:rsidRPr="00B21C9E">
        <w:rPr>
          <w:rFonts w:ascii="Times New Roman" w:hAnsi="Times New Roman" w:cs="Times New Roman"/>
          <w:b w:val="0"/>
          <w:bCs/>
          <w:color w:val="auto"/>
          <w:szCs w:val="24"/>
        </w:rPr>
        <w:t xml:space="preserve">Genre 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as </w:t>
      </w:r>
      <w:r w:rsidRPr="00B21C9E">
        <w:rPr>
          <w:rFonts w:ascii="Times New Roman" w:hAnsi="Times New Roman" w:cs="Times New Roman"/>
          <w:b w:val="0"/>
          <w:bCs/>
          <w:color w:val="auto"/>
          <w:szCs w:val="24"/>
        </w:rPr>
        <w:t>Social Action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>Quarterly Journal of Speech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70 (1984): 151-67. Print.</w:t>
      </w:r>
    </w:p>
    <w:p w14:paraId="3AEEBD4E" w14:textId="62502BE0" w:rsidR="0063349F" w:rsidRPr="00B21C9E" w:rsidRDefault="0063349F" w:rsidP="00340160">
      <w:pPr>
        <w:ind w:left="720" w:hanging="720"/>
        <w:rPr>
          <w:rFonts w:ascii="Times New Roman" w:hAnsi="Times New Roman" w:cs="Times New Roman"/>
          <w:b w:val="0"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>Ong, Walter.  “The Writer’s Audience is Always Fiction</w:t>
      </w:r>
      <w:r w:rsidR="00FE2228">
        <w:rPr>
          <w:rFonts w:ascii="Times New Roman" w:hAnsi="Times New Roman" w:cs="Times New Roman"/>
          <w:b w:val="0"/>
          <w:color w:val="auto"/>
          <w:szCs w:val="24"/>
        </w:rPr>
        <w:t>.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” </w:t>
      </w:r>
      <w:r w:rsidR="00FE2228">
        <w:rPr>
          <w:rFonts w:ascii="Times New Roman" w:hAnsi="Times New Roman" w:cs="Times New Roman"/>
          <w:b w:val="0"/>
          <w:i/>
          <w:color w:val="auto"/>
          <w:szCs w:val="24"/>
        </w:rPr>
        <w:t>Publications of the Modern Language Association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90 (1975): 9-21.</w:t>
      </w:r>
    </w:p>
    <w:p w14:paraId="73E12ADB" w14:textId="77777777" w:rsidR="0063349F" w:rsidRPr="00B21C9E" w:rsidRDefault="0063349F" w:rsidP="00A4354F">
      <w:pPr>
        <w:ind w:left="720" w:hanging="720"/>
        <w:contextualSpacing/>
        <w:rPr>
          <w:rStyle w:val="reference-text"/>
          <w:rFonts w:ascii="Times New Roman" w:hAnsi="Times New Roman" w:cs="Times New Roman"/>
          <w:b w:val="0"/>
          <w:szCs w:val="24"/>
          <w:lang w:val="en"/>
        </w:rPr>
      </w:pPr>
      <w:r w:rsidRPr="00B21C9E">
        <w:rPr>
          <w:rStyle w:val="reference-text"/>
          <w:rFonts w:ascii="Times New Roman" w:hAnsi="Times New Roman" w:cs="Times New Roman"/>
          <w:b w:val="0"/>
          <w:szCs w:val="24"/>
          <w:lang w:val="en"/>
        </w:rPr>
        <w:t xml:space="preserve">Perl, Sondra. “The Composing Process of Unskilled College Writers.” </w:t>
      </w:r>
      <w:r w:rsidRPr="00B21C9E">
        <w:rPr>
          <w:rStyle w:val="reference-text"/>
          <w:rFonts w:ascii="Times New Roman" w:hAnsi="Times New Roman" w:cs="Times New Roman"/>
          <w:b w:val="0"/>
          <w:i/>
          <w:iCs/>
          <w:szCs w:val="24"/>
          <w:lang w:val="en"/>
        </w:rPr>
        <w:t>Research in the Teaching of English</w:t>
      </w:r>
      <w:r w:rsidRPr="00B21C9E">
        <w:rPr>
          <w:rStyle w:val="reference-text"/>
          <w:rFonts w:ascii="Times New Roman" w:hAnsi="Times New Roman" w:cs="Times New Roman"/>
          <w:b w:val="0"/>
          <w:szCs w:val="24"/>
          <w:lang w:val="en"/>
        </w:rPr>
        <w:t xml:space="preserve"> 13.4 (1979): 317–36. Print.</w:t>
      </w:r>
    </w:p>
    <w:p w14:paraId="20360560" w14:textId="32A1CFF0" w:rsidR="0063349F" w:rsidRPr="00B21C9E" w:rsidRDefault="0063349F" w:rsidP="006E7960">
      <w:pPr>
        <w:widowControl w:val="0"/>
        <w:overflowPunct w:val="0"/>
        <w:adjustRightInd w:val="0"/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Purdy, James P. “The Changing Space of Research: Web 2.0 and the Integration of Research and Writing Environments.”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>Computers and Composition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27 (2010): 48–58. Print.</w:t>
      </w:r>
    </w:p>
    <w:p w14:paraId="53790A6B" w14:textId="780F3C78" w:rsidR="0063349F" w:rsidRPr="00B21C9E" w:rsidRDefault="0063349F" w:rsidP="0063349F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</w:pP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Robertson, Liane, </w:t>
      </w:r>
      <w:proofErr w:type="spellStart"/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>Taczak</w:t>
      </w:r>
      <w:proofErr w:type="spellEnd"/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>, Kara, and Kathleen Blake Yan</w:t>
      </w:r>
      <w:r w:rsidR="00FE2228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cey. “Notes Toward a Theory of 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>Prior Knowledge and its Role in College Compos</w:t>
      </w:r>
      <w:r w:rsidR="00FE2228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ers’ Transfer of Knowledge and 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Practice.” </w:t>
      </w:r>
      <w:r w:rsidRPr="00B21C9E">
        <w:rPr>
          <w:rFonts w:ascii="Times New Roman" w:eastAsia="Times New Roman" w:hAnsi="Times New Roman" w:cs="Times New Roman"/>
          <w:b w:val="0"/>
          <w:i/>
          <w:color w:val="auto"/>
          <w:szCs w:val="24"/>
          <w:shd w:val="clear" w:color="auto" w:fill="FFFFFF"/>
        </w:rPr>
        <w:t>Composition Forum</w:t>
      </w:r>
      <w:r w:rsidR="00FE2228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 26 (2012).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shd w:val="clear" w:color="auto" w:fill="FFFFFF"/>
        </w:rPr>
        <w:t xml:space="preserve"> Web. </w:t>
      </w:r>
    </w:p>
    <w:p w14:paraId="65917CD7" w14:textId="7B8FB955" w:rsidR="0063349F" w:rsidRPr="00B21C9E" w:rsidRDefault="0063349F" w:rsidP="00733B2A">
      <w:pPr>
        <w:ind w:left="720" w:hanging="720"/>
        <w:contextualSpacing/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</w:pP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 xml:space="preserve">Rose, Mike. “Narrowing the Mind and Page: Remedial Writers and </w:t>
      </w:r>
      <w:proofErr w:type="gramStart"/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>Cognitive  Reductionism</w:t>
      </w:r>
      <w:proofErr w:type="gramEnd"/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 xml:space="preserve">.” </w:t>
      </w:r>
      <w:r w:rsidRPr="00B21C9E">
        <w:rPr>
          <w:rFonts w:ascii="Times New Roman" w:eastAsia="Times New Roman" w:hAnsi="Times New Roman" w:cs="Times New Roman"/>
          <w:b w:val="0"/>
          <w:i/>
          <w:color w:val="auto"/>
          <w:szCs w:val="24"/>
          <w:lang w:eastAsia="en-US"/>
        </w:rPr>
        <w:t>College Composition and Communication</w:t>
      </w:r>
      <w:r w:rsidRPr="00B21C9E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 xml:space="preserve"> 39.3 (1988): 267-302. Print</w:t>
      </w:r>
      <w:r w:rsidR="00FE2228">
        <w:rPr>
          <w:rFonts w:ascii="Times New Roman" w:eastAsia="Times New Roman" w:hAnsi="Times New Roman" w:cs="Times New Roman"/>
          <w:b w:val="0"/>
          <w:color w:val="auto"/>
          <w:szCs w:val="24"/>
          <w:lang w:eastAsia="en-US"/>
        </w:rPr>
        <w:t>.</w:t>
      </w:r>
    </w:p>
    <w:p w14:paraId="196F395F" w14:textId="77777777" w:rsidR="0063349F" w:rsidRPr="00B21C9E" w:rsidRDefault="0063349F" w:rsidP="00340160">
      <w:pPr>
        <w:ind w:left="720" w:hanging="720"/>
        <w:rPr>
          <w:rFonts w:ascii="Times New Roman" w:hAnsi="Times New Roman" w:cs="Times New Roman"/>
          <w:b w:val="0"/>
          <w:iCs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Rose, Mike. “The Language of Exclusion: Writing Instruction at the University.”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>College English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47.4 (1985): 341-359. Print.</w:t>
      </w:r>
    </w:p>
    <w:p w14:paraId="5AF8AF40" w14:textId="6A5DF2F6" w:rsidR="0063349F" w:rsidRPr="00B21C9E" w:rsidRDefault="0063349F" w:rsidP="0063349F">
      <w:pPr>
        <w:pStyle w:val="CommentText"/>
        <w:ind w:left="720" w:hanging="72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Royster, “When the First Voice You Hear Is </w:t>
      </w:r>
      <w:proofErr w:type="gramStart"/>
      <w:r w:rsidRPr="00B21C9E">
        <w:rPr>
          <w:rFonts w:ascii="Times New Roman" w:hAnsi="Times New Roman" w:cs="Times New Roman"/>
          <w:b w:val="0"/>
          <w:color w:val="auto"/>
          <w:sz w:val="24"/>
          <w:szCs w:val="24"/>
        </w:rPr>
        <w:t>not</w:t>
      </w:r>
      <w:proofErr w:type="gramEnd"/>
      <w:r w:rsidRPr="00B21C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Your Own.” </w:t>
      </w:r>
      <w:r w:rsidRPr="00B21C9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College</w:t>
      </w:r>
      <w:r w:rsidR="00FE222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Composition and Communication</w:t>
      </w:r>
      <w:r w:rsidRPr="00B21C9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B21C9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47.1 (1996): 29-40. Print.   </w:t>
      </w:r>
      <w:r w:rsidRPr="00B21C9E">
        <w:rPr>
          <w:rFonts w:ascii="Times New Roman" w:hAnsi="Times New Roman" w:cs="Times New Roman"/>
          <w:b w:val="0"/>
          <w:i/>
          <w:color w:val="FF0000"/>
          <w:sz w:val="24"/>
          <w:szCs w:val="24"/>
        </w:rPr>
        <w:t xml:space="preserve"> </w:t>
      </w:r>
    </w:p>
    <w:p w14:paraId="11681DDE" w14:textId="5125469C" w:rsidR="0063349F" w:rsidRPr="00B21C9E" w:rsidRDefault="0063349F" w:rsidP="00340160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proofErr w:type="spellStart"/>
      <w:r w:rsidRPr="00B21C9E">
        <w:rPr>
          <w:rFonts w:ascii="Times New Roman" w:hAnsi="Times New Roman" w:cs="Times New Roman"/>
          <w:b w:val="0"/>
          <w:color w:val="auto"/>
          <w:szCs w:val="24"/>
        </w:rPr>
        <w:t>Selfe</w:t>
      </w:r>
      <w:proofErr w:type="spellEnd"/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, Cynthia L. “The Movement of Air, the Breath of Meaning: Aurality and Multimodal Composing.” </w:t>
      </w:r>
      <w:r w:rsidR="00FE2228">
        <w:rPr>
          <w:rFonts w:ascii="Times New Roman" w:hAnsi="Times New Roman" w:cs="Times New Roman"/>
          <w:b w:val="0"/>
          <w:i/>
          <w:color w:val="auto"/>
          <w:szCs w:val="24"/>
        </w:rPr>
        <w:t>College Composition and Communication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60.4 (2009): 616-663.</w:t>
      </w:r>
      <w:r w:rsidR="00FE2228">
        <w:rPr>
          <w:rFonts w:ascii="Times New Roman" w:hAnsi="Times New Roman" w:cs="Times New Roman"/>
          <w:b w:val="0"/>
          <w:color w:val="auto"/>
          <w:szCs w:val="24"/>
        </w:rPr>
        <w:t xml:space="preserve"> Print.</w:t>
      </w:r>
    </w:p>
    <w:p w14:paraId="624E8B8A" w14:textId="344ADF76" w:rsidR="0063349F" w:rsidRPr="00B21C9E" w:rsidRDefault="0063349F" w:rsidP="00733B2A">
      <w:pPr>
        <w:ind w:left="720" w:hanging="720"/>
        <w:contextualSpacing/>
        <w:rPr>
          <w:rFonts w:ascii="Times New Roman" w:hAnsi="Times New Roman" w:cs="Times New Roman"/>
          <w:b w:val="0"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Sommers, Nancy. “Revision Strategies of Student Writers and Experienced Adult Writers.” </w:t>
      </w:r>
      <w:r w:rsidRPr="00B21C9E">
        <w:rPr>
          <w:rFonts w:ascii="Times New Roman" w:hAnsi="Times New Roman" w:cs="Times New Roman"/>
          <w:b w:val="0"/>
          <w:i/>
          <w:color w:val="auto"/>
          <w:szCs w:val="24"/>
        </w:rPr>
        <w:t>College Composition and Communication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31.4 (1980):</w:t>
      </w:r>
      <w:r w:rsidR="00FE2228">
        <w:rPr>
          <w:rFonts w:ascii="Times New Roman" w:hAnsi="Times New Roman" w:cs="Times New Roman"/>
          <w:b w:val="0"/>
          <w:color w:val="auto"/>
          <w:szCs w:val="24"/>
        </w:rPr>
        <w:t xml:space="preserve"> 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>378-388</w:t>
      </w:r>
      <w:r w:rsidR="00FE2228">
        <w:rPr>
          <w:rFonts w:ascii="Times New Roman" w:hAnsi="Times New Roman" w:cs="Times New Roman"/>
          <w:b w:val="0"/>
          <w:color w:val="auto"/>
          <w:szCs w:val="24"/>
        </w:rPr>
        <w:t>.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 Print.</w:t>
      </w:r>
    </w:p>
    <w:p w14:paraId="7A4C0851" w14:textId="77777777" w:rsidR="0063349F" w:rsidRPr="0063349F" w:rsidRDefault="0063349F" w:rsidP="00340160">
      <w:pPr>
        <w:ind w:left="720" w:hanging="720"/>
        <w:rPr>
          <w:rFonts w:ascii="Times New Roman" w:hAnsi="Times New Roman" w:cs="Times New Roman"/>
          <w:b w:val="0"/>
          <w:iCs/>
          <w:color w:val="auto"/>
          <w:szCs w:val="24"/>
        </w:rPr>
      </w:pPr>
      <w:r w:rsidRPr="00B21C9E">
        <w:rPr>
          <w:rFonts w:ascii="Times New Roman" w:hAnsi="Times New Roman" w:cs="Times New Roman"/>
          <w:b w:val="0"/>
          <w:color w:val="auto"/>
          <w:szCs w:val="24"/>
        </w:rPr>
        <w:t xml:space="preserve">Yancey, Kathleen. “Made Not Only in Words: Composition in a New Key.” </w:t>
      </w:r>
      <w:r w:rsidRPr="00FE2228">
        <w:rPr>
          <w:rFonts w:ascii="Times New Roman" w:hAnsi="Times New Roman" w:cs="Times New Roman"/>
          <w:b w:val="0"/>
          <w:i/>
          <w:color w:val="auto"/>
          <w:szCs w:val="24"/>
        </w:rPr>
        <w:t xml:space="preserve">College Composition and Communication </w:t>
      </w:r>
      <w:r w:rsidRPr="00B21C9E">
        <w:rPr>
          <w:rFonts w:ascii="Times New Roman" w:hAnsi="Times New Roman" w:cs="Times New Roman"/>
          <w:b w:val="0"/>
          <w:color w:val="auto"/>
          <w:szCs w:val="24"/>
        </w:rPr>
        <w:t>56.2 (2004): 297-328. Print.</w:t>
      </w:r>
    </w:p>
    <w:sectPr w:rsidR="0063349F" w:rsidRPr="0063349F" w:rsidSect="00AE0F78">
      <w:pgSz w:w="12240" w:h="15840"/>
      <w:pgMar w:top="1440" w:right="1800" w:bottom="720" w:left="1800" w:header="720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A87A" w14:textId="77777777" w:rsidR="007B4048" w:rsidRDefault="007B4048" w:rsidP="00AA1C63">
      <w:r>
        <w:separator/>
      </w:r>
    </w:p>
  </w:endnote>
  <w:endnote w:type="continuationSeparator" w:id="0">
    <w:p w14:paraId="3FCE08C0" w14:textId="77777777" w:rsidR="007B4048" w:rsidRDefault="007B4048" w:rsidP="00AA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D49C" w14:textId="77777777" w:rsidR="007B4048" w:rsidRDefault="007B4048" w:rsidP="00AA1C63">
      <w:r>
        <w:separator/>
      </w:r>
    </w:p>
  </w:footnote>
  <w:footnote w:type="continuationSeparator" w:id="0">
    <w:p w14:paraId="2CC51006" w14:textId="77777777" w:rsidR="007B4048" w:rsidRDefault="007B4048" w:rsidP="00AA1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7FB"/>
    <w:multiLevelType w:val="multilevel"/>
    <w:tmpl w:val="BFC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72BEE"/>
    <w:multiLevelType w:val="hybridMultilevel"/>
    <w:tmpl w:val="A956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D7343"/>
    <w:multiLevelType w:val="hybridMultilevel"/>
    <w:tmpl w:val="4B36C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96"/>
    <w:rsid w:val="0001554D"/>
    <w:rsid w:val="00031859"/>
    <w:rsid w:val="000904F4"/>
    <w:rsid w:val="00200F02"/>
    <w:rsid w:val="002151F6"/>
    <w:rsid w:val="00340160"/>
    <w:rsid w:val="004262F1"/>
    <w:rsid w:val="006110A3"/>
    <w:rsid w:val="00611482"/>
    <w:rsid w:val="0063349F"/>
    <w:rsid w:val="00671FA7"/>
    <w:rsid w:val="006C2DDC"/>
    <w:rsid w:val="006E7960"/>
    <w:rsid w:val="00733B2A"/>
    <w:rsid w:val="0075054B"/>
    <w:rsid w:val="0078430A"/>
    <w:rsid w:val="007B4048"/>
    <w:rsid w:val="008673C0"/>
    <w:rsid w:val="008F62D6"/>
    <w:rsid w:val="009A36EA"/>
    <w:rsid w:val="00A12F2A"/>
    <w:rsid w:val="00A4354F"/>
    <w:rsid w:val="00AA1C63"/>
    <w:rsid w:val="00AE0F78"/>
    <w:rsid w:val="00AE2641"/>
    <w:rsid w:val="00B07A4D"/>
    <w:rsid w:val="00B21C9E"/>
    <w:rsid w:val="00B77A38"/>
    <w:rsid w:val="00EA257C"/>
    <w:rsid w:val="00F87D96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112B5"/>
  <w15:docId w15:val="{55971E87-5169-4C05-99B8-AD848512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96"/>
    <w:pPr>
      <w:spacing w:after="0" w:line="240" w:lineRule="auto"/>
    </w:pPr>
    <w:rPr>
      <w:rFonts w:eastAsiaTheme="minorEastAsia"/>
      <w:b/>
      <w:color w:val="000000"/>
      <w:sz w:val="24"/>
      <w:szCs w:val="20"/>
      <w:lang w:eastAsia="ja-JP"/>
    </w:rPr>
  </w:style>
  <w:style w:type="paragraph" w:styleId="Heading4">
    <w:name w:val="heading 4"/>
    <w:basedOn w:val="Normal"/>
    <w:link w:val="Heading4Char"/>
    <w:qFormat/>
    <w:rsid w:val="00F87D96"/>
    <w:pPr>
      <w:outlineLvl w:val="3"/>
    </w:pPr>
    <w:rPr>
      <w:rFonts w:ascii="Arial Unicode MS" w:eastAsia="Arial Unicode MS" w:hAnsi="Arial Unicode MS" w:cs="Arial Unicode MS"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96"/>
    <w:pPr>
      <w:spacing w:after="200" w:line="276" w:lineRule="auto"/>
      <w:ind w:left="720"/>
      <w:contextualSpacing/>
    </w:pPr>
    <w:rPr>
      <w:rFonts w:eastAsiaTheme="minorHAnsi"/>
      <w:b w:val="0"/>
      <w:color w:val="auto"/>
      <w:sz w:val="22"/>
      <w:szCs w:val="22"/>
      <w:lang w:eastAsia="en-US"/>
    </w:rPr>
  </w:style>
  <w:style w:type="character" w:styleId="Strong">
    <w:name w:val="Strong"/>
    <w:qFormat/>
    <w:rsid w:val="00F87D96"/>
    <w:rPr>
      <w:b/>
      <w:bCs/>
    </w:rPr>
  </w:style>
  <w:style w:type="character" w:customStyle="1" w:styleId="Heading4Char">
    <w:name w:val="Heading 4 Char"/>
    <w:basedOn w:val="DefaultParagraphFont"/>
    <w:link w:val="Heading4"/>
    <w:rsid w:val="00F87D96"/>
    <w:rPr>
      <w:rFonts w:ascii="Arial Unicode MS" w:eastAsia="Arial Unicode MS" w:hAnsi="Arial Unicode MS" w:cs="Arial Unicode MS"/>
      <w:b/>
      <w:b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1C6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1C63"/>
    <w:rPr>
      <w:rFonts w:eastAsiaTheme="minorEastAsia"/>
      <w:b/>
      <w:color w:val="000000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A1C6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67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3C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3C0"/>
    <w:rPr>
      <w:rFonts w:eastAsiaTheme="minorEastAsia"/>
      <w:b/>
      <w:color w:val="00000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3C0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3C0"/>
    <w:rPr>
      <w:rFonts w:eastAsiaTheme="minorEastAsia"/>
      <w:b/>
      <w:bCs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C0"/>
    <w:rPr>
      <w:rFonts w:ascii="Tahoma" w:eastAsiaTheme="minorEastAsia" w:hAnsi="Tahoma" w:cs="Tahoma"/>
      <w:b/>
      <w:color w:val="000000"/>
      <w:sz w:val="16"/>
      <w:szCs w:val="16"/>
      <w:lang w:eastAsia="ja-JP"/>
    </w:rPr>
  </w:style>
  <w:style w:type="character" w:customStyle="1" w:styleId="st">
    <w:name w:val="st"/>
    <w:basedOn w:val="DefaultParagraphFont"/>
    <w:rsid w:val="00340160"/>
  </w:style>
  <w:style w:type="character" w:customStyle="1" w:styleId="reference-text">
    <w:name w:val="reference-text"/>
    <w:basedOn w:val="DefaultParagraphFont"/>
    <w:rsid w:val="00A4354F"/>
  </w:style>
  <w:style w:type="character" w:styleId="Hyperlink">
    <w:name w:val="Hyperlink"/>
    <w:basedOn w:val="DefaultParagraphFont"/>
    <w:uiPriority w:val="99"/>
    <w:unhideWhenUsed/>
    <w:rsid w:val="008F62D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33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7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34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4736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1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0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74D10-2C7F-4526-9826-6080BB79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Humanities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jclee</dc:creator>
  <cp:lastModifiedBy>Lauren Byler</cp:lastModifiedBy>
  <cp:revision>2</cp:revision>
  <dcterms:created xsi:type="dcterms:W3CDTF">2021-06-09T17:28:00Z</dcterms:created>
  <dcterms:modified xsi:type="dcterms:W3CDTF">2021-06-09T17:28:00Z</dcterms:modified>
</cp:coreProperties>
</file>