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 xml:space="preserve">January 08, 2026</w:t>
      </w:r>
    </w:p>
    <w:p w14:paraId="535793A2" w14:textId="77777777" w:rsidR="00770A1D" w:rsidRDefault="00770A1D">
      <w:r>
        <w:t xml:space="preserve">Dear Accounting Manager, </w:t>
      </w:r>
    </w:p>
    <w:p w14:paraId="61C7849E" w14:textId="46FA22AC" w:rsidR="00770A1D" w:rsidRDefault="00770A1D">
      <w:r>
        <w:t xml:space="preserve">The program cost report submitted by Monroe for 2023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 xml:space="preserve"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Monroe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 xml:space="preserve">2023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 xml:space="preserve"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98,900.75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 xml:space="preserve">6,411.00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 xml:space="preserve">105,311.75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 xml:space="preserve">169,654.25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 xml:space="preserve">9,389.00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 xml:space="preserve">179,043.25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  <dc:identifier/>
  <dc:language/>
</cp:coreProperties>
</file>