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10.  USE OF TELECOMMUNICATIONS</w:t>
      </w:r>
    </w:p>
    <w:p w:rsidR="003F3435" w:rsidRDefault="0032493E">
      <w:pPr>
        <w:spacing w:line="480" w:lineRule="auto"/>
        <w:jc w:val="center"/>
      </w:pPr>
      <w:r>
        <w:t xml:space="preserve">SUBTITLE B.  ELECTRONIC COMMUNICATIONS</w:t>
      </w:r>
    </w:p>
    <w:p w:rsidR="003F3435" w:rsidRDefault="0032493E">
      <w:pPr>
        <w:spacing w:line="480" w:lineRule="auto"/>
        <w:jc w:val="center"/>
      </w:pPr>
      <w:r>
        <w:t xml:space="preserve">CHAPTER 323.  PROVISION OF SOFTWARE OR SERVICES TO BLOCK OR SCREEN INTERNET MATERIAL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"Freeware" means software distributed to a person free of charge, regardless of whether use of the software is subject to certain restrictions.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"Institution of higher education" has the meaning assigned by Section </w:t>
      </w:r>
      <w:r>
        <w:t xml:space="preserve">61.003</w:t>
      </w:r>
      <w:r>
        <w:t xml:space="preserve">, Education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"Interactive computer service" means any information service or system that provides or enables computer access to the Internet by multiple users.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"Internet" means the largest nonproprietary nonprofit cooperative public computer network, popularly known as the Internet.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"Shareware" means copyrighted software for which the copyright owner sets certain conditions for the software's distribution and use, including requiring payment to the copyright owner after a person who has secured a copy of the software decides to use the software, regardless of whether the payment is for additional support or functionality of the software.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323.002.</w:t>
      </w:r>
      <w:r xml:space="preserve">
        <w:t> </w:t>
      </w:r>
      <w:r xml:space="preserve">
        <w:t> </w:t>
      </w:r>
      <w:r>
        <w:t xml:space="preserve">SOFTWARE OR SERVICES THAT RESTRICT ACCESS TO CERTAIN INTERNET MATERIAL.  (a)  This section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Department of Information Resources, in the department's capacity as the telecommunications provider for this state;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institution of higher education that provides interactive computer service.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charges a fee to provide an interactive computer service shall provide free of charge to each subscriber of the service in this state a link leading to fully functional shareware, freeware, or a demonstration version of software or to a service that, for at least one operating system, enables the subscriber to automatically block or screen material on the Internet.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who charges a fee to provide an interactive computer service is in compliance with this section if the person places, on the person's first page of world wide web text information accessible to a subscriber, a link leading to the software or service described by Subsection (b).</w:t>
      </w:r>
      <w:r xml:space="preserve">
        <w:t> </w:t>
      </w:r>
      <w:r xml:space="preserve">
        <w:t> </w:t>
      </w:r>
      <w:r>
        <w:t xml:space="preserve">The identity of the link or other on-screen depiction of the link must appear set out from surrounding written or graphical material so as to be conspicuous.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person who provides a link that complies with this section is not liable to a subscriber for any temporary inoperability of the link or for the effectiveness of the software or service to which the person links.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323.003.</w:t>
      </w:r>
      <w:r xml:space="preserve">
        <w:t> </w:t>
      </w:r>
      <w:r xml:space="preserve">
        <w:t> </w:t>
      </w:r>
      <w:r>
        <w:t xml:space="preserve">CIVIL PENALTY.  (a)  A person is liable to this state for a civil penalty of $2,000 for each day the person violates Section </w:t>
      </w:r>
      <w:r>
        <w:t xml:space="preserve">323.002</w:t>
      </w:r>
      <w:r>
        <w:t xml:space="preserve">.</w:t>
      </w:r>
      <w:r xml:space="preserve">
        <w:t> </w:t>
      </w:r>
      <w:r xml:space="preserve">
        <w:t> </w:t>
      </w:r>
      <w:r>
        <w:t xml:space="preserve">The aggregate civil penalty may not exceed $60,000.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attorney general may bring an action against a person who violates Section </w:t>
      </w:r>
      <w:r>
        <w:t xml:space="preserve">323.002</w:t>
      </w:r>
      <w:r>
        <w:t xml:space="preserve"> to recover the civil penalty.</w:t>
      </w:r>
      <w:r xml:space="preserve">
        <w:t> </w:t>
      </w:r>
      <w:r xml:space="preserve">
        <w:t> </w:t>
      </w:r>
      <w:r>
        <w:t xml:space="preserve">Before bringing the action, the attorney general shall give the person notice of the person's noncompliance and liability for a civil penalty.</w:t>
      </w:r>
      <w:r xml:space="preserve">
        <w:t> </w:t>
      </w:r>
      <w:r xml:space="preserve">
        <w:t> </w:t>
      </w:r>
      <w:r>
        <w:t xml:space="preserve">If the person complies with Section </w:t>
      </w:r>
      <w:r>
        <w:t xml:space="preserve">323.002</w:t>
      </w:r>
      <w:r>
        <w:t xml:space="preserve"> not later than the 30th day after the date of the notice, the violation is cured and the person is not liable for the civil penalty.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