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ORGANIZATIONS CODE</w:t>
      </w:r>
    </w:p>
    <w:p w:rsidR="003F3435" w:rsidRDefault="0032493E">
      <w:pPr>
        <w:spacing w:line="480" w:lineRule="auto"/>
        <w:jc w:val="center"/>
      </w:pPr>
      <w:r>
        <w:t xml:space="preserve">TITLE 7. PROFESSIONAL ENTITIES</w:t>
      </w:r>
    </w:p>
    <w:p w:rsidR="003F3435" w:rsidRDefault="0032493E">
      <w:pPr>
        <w:spacing w:line="480" w:lineRule="auto"/>
        <w:jc w:val="center"/>
      </w:pPr>
      <w:r>
        <w:t xml:space="preserve">CHAPTER 303. PROVISIONS RELATING TO PROFESSIONAL CORPORATIONS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303.001.</w:t>
      </w:r>
      <w:r xml:space="preserve">
        <w:t> </w:t>
      </w:r>
      <w:r xml:space="preserve">
        <w:t> </w:t>
      </w:r>
      <w:r>
        <w:t xml:space="preserve">APPLICABILITY OF CERTAIN PROVISIONS GOVERNING FOR-PROFIT CORPORATIONS.  The provisions of Chapters </w:t>
      </w:r>
      <w:r>
        <w:t xml:space="preserve">20</w:t>
      </w:r>
      <w:r>
        <w:t xml:space="preserve"> and </w:t>
      </w:r>
      <w:r>
        <w:t xml:space="preserve">21</w:t>
      </w:r>
      <w:r>
        <w:t xml:space="preserve"> governing a for-profit corporation apply to a professional corporation, unless there is a conflict with this title.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303.002.</w:t>
      </w:r>
      <w:r xml:space="preserve">
        <w:t> </w:t>
      </w:r>
      <w:r xml:space="preserve">
        <w:t> </w:t>
      </w:r>
      <w:r>
        <w:t xml:space="preserve">AUTHORITY AND LIABILITY OF SHAREHOLDER.  (a)  A shareholder of a professional corporation is not required to supervise the performance of duties by an officer or employee of the corporation.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shareholder of a professional corporation is subject to no greater liability than a shareholder of a for-profit corporation.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303.003.</w:t>
      </w:r>
      <w:r xml:space="preserve">
        <w:t> </w:t>
      </w:r>
      <w:r xml:space="preserve">
        <w:t> </w:t>
      </w:r>
      <w:r>
        <w:t xml:space="preserve">NOTICE OF RESTRICTION ON TRANSFER OF SHARES.  Any restriction on the transfer of shares in a professional corporation that is imposed by the governing documents of the corporation or an applicable agreement must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noted on each certificate representing the shares;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incorporated by reference in the manner provided by Chapter </w:t>
      </w:r>
      <w:r>
        <w:t xml:space="preserve">21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303.004.</w:t>
      </w:r>
      <w:r xml:space="preserve">
        <w:t> </w:t>
      </w:r>
      <w:r xml:space="preserve">
        <w:t> </w:t>
      </w:r>
      <w:r>
        <w:t xml:space="preserve">REDEMPTION OF SHARES;  PRICE AND TERMS.  (a)  A professional corporation may redeem shares of a shareholder, including a deceased shareholder.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price and other terms of a redemption of shares may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agreed to between the board of directors of the professional corporation and the shareholder or the shareholder's personal representative;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specified in the governing documents of the professional corporation or an applicable agreement.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303.005.</w:t>
      </w:r>
      <w:r xml:space="preserve">
        <w:t> </w:t>
      </w:r>
      <w:r xml:space="preserve">
        <w:t> </w:t>
      </w:r>
      <w:r>
        <w:t xml:space="preserve">EXISTENCE OF PROFESSIONAL CORPORATION BEFORE WINDING UP AND TERMINATION.  A professional corporation continues to exist until the winding up and termination of the corporation as provided by Chapter </w:t>
      </w:r>
      <w:r>
        <w:t xml:space="preserve">11</w:t>
      </w:r>
      <w:r>
        <w:t xml:space="preserve"> without regard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death, incompetency, bankruptcy, resignation, withdrawal, retirement, or expulsion of any shareholder of the corporation;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transfer of shares to a new shareholder;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occurrence of an event requiring the winding up of a partnership.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303.006.</w:t>
      </w:r>
      <w:r xml:space="preserve">
        <w:t> </w:t>
      </w:r>
      <w:r xml:space="preserve">
        <w:t> </w:t>
      </w:r>
      <w:r>
        <w:t xml:space="preserve">EXECUTION OF CERTIFICATE OF TERMINATION.  (a)  Except as provided by Subsection (b), a certificate of termination filed in accordance with Chapter </w:t>
      </w:r>
      <w:r>
        <w:t xml:space="preserve">11</w:t>
      </w:r>
      <w:r>
        <w:t xml:space="preserve"> must be executed by an officer of the professional corporation on behalf of the corporation.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professional corporation does not have any living officer, the certificate of termination must be executed by a director of the corporation.</w:t>
      </w:r>
      <w:r xml:space="preserve">
        <w:t> </w:t>
      </w:r>
      <w:r xml:space="preserve">
        <w:t> </w:t>
      </w:r>
      <w:r>
        <w:t xml:space="preserve"> If the professional corporation does not have any living director, the certificate of termination must be executed by the legal representative of the last living director</w:t>
      </w:r>
      <w:r xml:space="preserve">
        <w:t> </w:t>
      </w:r>
      <w:r xml:space="preserve">
        <w:t> </w:t>
      </w:r>
      <w:r>
        <w:t xml:space="preserve">of the corporation.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688 (H.B. </w:t>
      </w:r>
      <w:hyperlink w:docLocation="table" r:id="rId14">
        <w:r>
          <w:rPr>
            <w:rStyle w:val="Hyperlink"/>
          </w:rPr>
          <w:t>1737</w:t>
        </w:r>
      </w:hyperlink>
      <w:r>
        <w:t xml:space="preserve">), Sec. 137, eff. September 1,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1737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