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THE TEXAS CONSTITUTION</w:t>
      </w:r>
    </w:p>
    <w:p w:rsidR="003F3435" w:rsidRDefault="0032493E">
      <w:pPr>
        <w:spacing w:line="480" w:lineRule="auto"/>
        <w:jc w:val="center"/>
      </w:pPr>
      <w:r>
        <w:t xml:space="preserve">ARTICLE 14. PUBLIC LANDS AND LAND OFFICE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w:t>
      </w:r>
      <w:r xml:space="preserve">
        <w:t> </w:t>
      </w:r>
      <w:r xml:space="preserve">
        <w:t> </w:t>
      </w:r>
      <w:r>
        <w:t xml:space="preserve">GENERAL LAND OFFICE.  There shall be one General Land Office in the State, which shall be at the Seat of Government, where all Land Titles which have emanated or may hereafter emanate from the State shall be registered, except those titles the registration of which may be prohibited by this Constitution.  It shall be the duty of the Legislature at the earliest practicable time to make the Land Office self sustaining, and from time to time the Legislature may establish such subordinate Offices as may be deemed necessary.</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w:t>
      </w:r>
      <w:r xml:space="preserve">
        <w:t> </w:t>
      </w:r>
      <w:r xml:space="preserve">
        <w:t> </w:t>
      </w:r>
      <w:r>
        <w:t xml:space="preserve">(Repealed Aug. 5, 1969.)</w:t>
      </w:r>
    </w:p>
    <w:p w:rsidR="003F3435" w:rsidRDefault="0032493E">
      <w:pPr>
        <w:spacing w:line="480" w:lineRule="auto"/>
        <w:jc w:val="both"/>
      </w:pPr>
      <w:r>
        <w:t xml:space="preserve"> </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