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41. ARREST OF JUDGMENT</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41.01. MOTION IN ARREST OF JUDGMENT.</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 </w:t>
      </w:r>
    </w:p>
    <w:p w:rsidR="003F3435" w:rsidRDefault="0032493E">
      <w:pPr>
        <w:spacing w:line="480" w:lineRule="auto"/>
        <w:jc w:val="both"/>
      </w:pPr>
      <w:r>
        <w:t xml:space="preserve">Added by Acts 1965, 59th Leg., Ch. 722 (S.B. 107), Sec. 1, eff. January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41.02. TIME TO MAKE MOTION.</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 Amended by Acts 1981, 67th Leg., Ch. 291 (S.B. 265), Sec. 110, eff. September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41.03. GRANTED FOR SUBSTANTIAL DEFECT.</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41.04. WANT OF FORM.</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41.05. EFFECT OF ARRESTING JUDGMENT.</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