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9. OFFENSES INJURIOUS TO PUBLIC HEALTH</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9.01. TRADE INJURIOUS TO HEALTH.  After an indictment or information has been presented against any person for carrying on a trade, business or occupation injurious to the health of those in the neighborhood, the court shall have power, on the application of anyone interested, and after hearing proof both for and against the accused, to restrain the defendant, in such penalty as may be deemed proper, from carrying on such trade, business or occupation, or may make such order respecting the manner and place of carrying on the same as may be deemed advisable;  and if upon trial, the defendant be convicted, the restraint shall be made perpetual, and the party shall be required to enter into bond, with security, not to continue such trade, business or occupation to the detriment of the health of such neighborhood, or of any other neighborhood within the county.</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Repealed by Acts 2025, 89th Leg., R.S., Ch. 202 (H.B. </w:t>
      </w:r>
      <w:hyperlink w:docLocation="table" r:id="rId14">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9.02. REFUSAL TO GIVE BOND.  If the party refuses to give bond when required under the provisions of the preceding Article, the court may either commit him to jail, or make an order requiring the sheriff to seize upon the implements of such trade, business or occupation, or the goods and property used in conducting such trade, business or occupation, and destroy the same.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Repealed by Acts 2025, 89th Leg., R.S., Ch. 202 (H.B. </w:t>
      </w:r>
      <w:hyperlink w:docLocation="table" r:id="rId15">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9.03. REQUISITES OF BOND.  Such bond shall be payable to the State of Texas, in a reasonable amount to be fixed by the court, conditioned that the defendant will not carry on such trade, business or occupation, naming the same, at such place, naming the place, or at any other place in the county, to the detriment of the health of the neighborhood.  The bond shall be signed by the defendant and his sureties and dated, and shall be approved by the court taking the same, and filed in such court.</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Repealed by Acts 2025, 89th Leg., R.S., Ch. 202 (H.B. </w:t>
      </w:r>
      <w:hyperlink w:docLocation="table" r:id="rId16">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9.04. SUIT UPON BOND.  Any such bond, upon the breach thereof, may be sued upon by the district or county attorney, in the name of the State of Texas, within two years after such breach, and not afterwards;  and such suits shall be governed by the same rules as civil actions.</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Repealed by Acts 2025, 89th Leg., R.S., Ch. 202 (H.B. </w:t>
      </w:r>
      <w:hyperlink w:docLocation="table" r:id="rId17">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9.05. PROOF.  It shall be sufficient proof of the breach of any such bond to show that the party continued after executing the same, to carry on the trade, business or occupation which he bound himself to discontinue;  and the full amount of such bond may be recovered of the defendant and his sureties.</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Repealed by Acts 2025, 89th Leg., R.S., Ch. 202 (H.B. </w:t>
      </w:r>
      <w:hyperlink w:docLocation="table" r:id="rId18">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9.06. UNWHOLESOME FOOD.  After conviction for selling unwholesome food or adulterated medicine, the court shall enter and issue an order to the sheriff or other proper officer to seize and destroy such as remains in the hands of the defendant.</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Repealed by Acts 2025, 89th Leg., R.S., Ch. 202 (H.B. </w:t>
      </w:r>
      <w:hyperlink w:docLocation="table" r:id="rId19">
        <w:r>
          <w:rPr>
            <w:rStyle w:val="Hyperlink"/>
          </w:rPr>
          <w:t>1610</w:t>
        </w:r>
      </w:hyperlink>
      <w:r>
        <w:t xml:space="preserve">), Sec. 3.01, eff. April 1, 2027.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610F.HTM" TargetMode="External" Id="rId14" /><Relationship Type="http://schemas.openxmlformats.org/officeDocument/2006/relationships/hyperlink" Target="http://capitol.texas.gov/tlodocs/89R/billtext/html/HB01610F.HTM" TargetMode="External" Id="rId15" /><Relationship Type="http://schemas.openxmlformats.org/officeDocument/2006/relationships/hyperlink" Target="http://capitol.texas.gov/tlodocs/89R/billtext/html/HB01610F.HTM" TargetMode="External" Id="rId16" /><Relationship Type="http://schemas.openxmlformats.org/officeDocument/2006/relationships/hyperlink" Target="http://capitol.texas.gov/tlodocs/89R/billtext/html/HB01610F.HTM" TargetMode="External" Id="rId17" /><Relationship Type="http://schemas.openxmlformats.org/officeDocument/2006/relationships/hyperlink" Target="http://capitol.texas.gov/tlodocs/89R/billtext/html/HB01610F.HTM" TargetMode="External" Id="rId18" /><Relationship Type="http://schemas.openxmlformats.org/officeDocument/2006/relationships/hyperlink" Target="http://capitol.texas.gov/tlodocs/89R/billtext/html/HB01610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