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FINANCE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1.001.</w:t>
      </w:r>
      <w:r xml:space="preserve">
        <w:t> </w:t>
      </w:r>
      <w:r xml:space="preserve">
        <w:t> </w:t>
      </w:r>
      <w:r>
        <w:t xml:space="preserve">PURPOSE OF CODE.  (a)  This code is enacted as a part of the state's continuing statutory revision program, begun by the Texas Legislative Council in 1963 as directed by the legislature in the law codified as Section </w:t>
      </w:r>
      <w:r>
        <w:t xml:space="preserve">323.007</w:t>
      </w:r>
      <w:r>
        <w:t xml:space="preserve">, Government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code is to make the law encompassed by this code more accessible and understandable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1.002.</w:t>
      </w:r>
      <w:r xml:space="preserve">
        <w:t> </w:t>
      </w:r>
      <w:r xml:space="preserve">
        <w:t> </w:t>
      </w:r>
      <w:r>
        <w:t xml:space="preserve">CONSTRUCTION OF CODE.  Chapter </w:t>
      </w:r>
      <w:r>
        <w:t xml:space="preserve">311</w:t>
      </w:r>
      <w:r>
        <w:t xml:space="preserve">, Government Code (Code Construction Act), applies to the construction of each provision in this code except as otherwise expressly provided by this code.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1.003.</w:t>
      </w:r>
      <w:r xml:space="preserve">
        <w:t> </w:t>
      </w:r>
      <w:r xml:space="preserve">
        <w:t> </w:t>
      </w:r>
      <w:r>
        <w:t xml:space="preserve">REFERENCE IN LAW TO STATUTE REVISED BY CODE.  A reference in a law to a statute or a part of a statute revised by this code is considered to be a reference to the part of this code that revises that statute or part of that statute.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1.004.</w:t>
      </w:r>
      <w:r xml:space="preserve">
        <w:t> </w:t>
      </w:r>
      <w:r xml:space="preserve">
        <w:t> </w:t>
      </w:r>
      <w:r>
        <w:t xml:space="preserve">PREEMPTION.  (a)</w:t>
      </w:r>
      <w:r xml:space="preserve">
        <w:t> </w:t>
      </w:r>
      <w:r xml:space="preserve">
        <w:t> </w:t>
      </w:r>
      <w:r>
        <w:t xml:space="preserve">Unless expressly authorized by another statute and except as provided by Subsection (b), a municipality or county may not adopt, enforce, or maintain an ordinance, order, or rule regulating conduct in a field of regulation that is occupied by a provision of this code.</w:t>
      </w:r>
      <w:r xml:space="preserve">
        <w:t> </w:t>
      </w:r>
      <w:r xml:space="preserve">
        <w:t> </w:t>
      </w:r>
      <w:r>
        <w:t xml:space="preserve">An ordinance, order, or rule that violates this section is void, unenforceable, and inconsistent with this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municipality or county may enforce or maintain an ordinance, order, or rule regulating any conduct under Chapter </w:t>
      </w:r>
      <w:r>
        <w:t xml:space="preserve">393</w:t>
      </w:r>
      <w:r>
        <w:t xml:space="preserve"> and any conduct related to a credit services organization, as defined by Section </w:t>
      </w:r>
      <w:r>
        <w:t xml:space="preserve">393.001</w:t>
      </w:r>
      <w:r>
        <w:t xml:space="preserve"> or by any other provision of this code, or a credit access business, as defined by Section </w:t>
      </w:r>
      <w:r>
        <w:t xml:space="preserve">393.601</w:t>
      </w:r>
      <w:r>
        <w:t xml:space="preserve"> or by any other provision of this code,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municipality or county adopted the ordinance, order, or rule before January 1, 2023;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ordinance, order, or rule would have been valid under the law as it existed before the date this section was enacted.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899 (H.B. </w:t>
      </w:r>
      <w:hyperlink w:docLocation="table" r:id="rId14">
        <w:r>
          <w:rPr>
            <w:rStyle w:val="Hyperlink"/>
          </w:rPr>
          <w:t>2127</w:t>
        </w:r>
      </w:hyperlink>
      <w:r>
        <w:t xml:space="preserve">), Sec. 8,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212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