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Chapter </w:t>
      </w:r>
      <w:r>
        <w:t xml:space="preserve">323</w:t>
      </w:r>
      <w:r>
        <w:t xml:space="preserve"> of this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understandable,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1985, 69th Leg., ch. 479,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The Code Construction Act (Chapter </w:t>
      </w:r>
      <w:r>
        <w:t xml:space="preserve">311</w:t>
      </w:r>
      <w:r>
        <w:t xml:space="preserve"> of this code) applies to the construction of each provision in this code,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1985, 69th Leg., ch. 479,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INTERNAL REFERENCES.  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reference to a title, chapter, or section without further identification is a reference to a title, chapter, or section of this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reference to a subtitle, subchapter, subsection, subdivision, paragraph, or other numbered or lettered unit without further identification is a reference to a unit of the next larger unit of this code in which the reference appears.</w:t>
      </w:r>
    </w:p>
    <w:p w:rsidR="003F3435" w:rsidRDefault="0032493E">
      <w:pPr>
        <w:spacing w:line="480" w:lineRule="auto"/>
        <w:jc w:val="both"/>
      </w:pPr>
      <w:r>
        <w:t xml:space="preserve">Acts 1985, 69th Leg., ch. 479, Sec. 1,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