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E. GOVERNMENT PROPERTY</w:t>
      </w:r>
    </w:p>
    <w:p w:rsidR="003F3435" w:rsidRDefault="0032493E">
      <w:pPr>
        <w:spacing w:line="480" w:lineRule="auto"/>
        <w:jc w:val="center"/>
      </w:pPr>
      <w:r>
        <w:t xml:space="preserve">CHAPTER 2201. TEXAS CAPITAL TRUST FUND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2201.001.</w:t>
      </w:r>
      <w:r xml:space="preserve">
        <w:t> </w:t>
      </w:r>
      <w:r xml:space="preserve">
        <w:t> </w:t>
      </w:r>
      <w:r>
        <w:t xml:space="preserve">TEXAS CAPITAL TRUST FUND.  The Texas capital trust fund is in the state treasury.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2201.002.</w:t>
      </w:r>
      <w:r xml:space="preserve">
        <w:t> </w:t>
      </w:r>
      <w:r xml:space="preserve">
        <w:t> </w:t>
      </w:r>
      <w:r>
        <w:t xml:space="preserve">USE OF FUND.  The fund may be used to finance: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acquisition, construction, repair, improvement, or equipping of a building by a state agency for a state purpose;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acquisition of real or personal property necessary for a state agency to take an action described by Subdivision (1);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administration of the asset management division of the General Land Office;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any other purpose for which funds may be appropriated from general revenue.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  Amended by Acts 1999, 76th Leg., ch. 1499, Sec. 1.32, eff. Sept. 1, 1999;  Acts 2003, 78th Leg., ch. 1310, Sec. 59, eff. June 20,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2201.003.</w:t>
      </w:r>
      <w:r xml:space="preserve">
        <w:t> </w:t>
      </w:r>
      <w:r xml:space="preserve">
        <w:t> </w:t>
      </w:r>
      <w:r>
        <w:t xml:space="preserve">TRANSFERS FROM CAPITAL TRUST FUND.  (a)  Interest earned by the fund shall be deposited to the credit of the housing trust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At the end of each fiscal biennium the unencumbered balance of the fund shall be transferred to the credit of the general revenue fund.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  Amended by Acts 1997, 75th Leg., ch. 1123, Sec. 14, eff. Sept. 1, 1997;  Acts 2003, 78th Leg., ch. 1310, Sec. 60, eff. June 20,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