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HUMAN RESOURCES CODE</w:t>
      </w:r>
    </w:p>
    <w:p w:rsidR="003F3435" w:rsidRDefault="0032493E">
      <w:pPr>
        <w:spacing w:line="480" w:lineRule="auto"/>
        <w:jc w:val="center"/>
      </w:pPr>
      <w:r>
        <w:t xml:space="preserve">TITLE 2. HUMAN SERVICES AND PROTECTIVE SERVICES IN GENERAL</w:t>
      </w:r>
    </w:p>
    <w:p w:rsidR="003F3435" w:rsidRDefault="0032493E">
      <w:pPr>
        <w:spacing w:line="480" w:lineRule="auto"/>
        <w:jc w:val="center"/>
      </w:pPr>
      <w:r>
        <w:t xml:space="preserve">SUBTITLE E. SERVICES FOR FAMILIES</w:t>
      </w:r>
    </w:p>
    <w:p w:rsidR="003F3435" w:rsidRDefault="0032493E">
      <w:pPr>
        <w:spacing w:line="480" w:lineRule="auto"/>
        <w:jc w:val="center"/>
      </w:pPr>
      <w:r>
        <w:t xml:space="preserve">CHAPTER 51A.  NOTICE TO VICTIMS OF FAMILY VIOLENCE, STALKING, HARASSMENT, OR TERRORISTIC THREAT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"Family" has the meaning assigned by Section </w:t>
      </w:r>
      <w:r>
        <w:t xml:space="preserve">71.003</w:t>
      </w:r>
      <w:r>
        <w:t xml:space="preserve">, Family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"Family violence" has the meaning assigned by Section </w:t>
      </w:r>
      <w:r>
        <w:t xml:space="preserve">71.004</w:t>
      </w:r>
      <w:r>
        <w:t xml:space="preserve">, Family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"Harassment" means any conduct that constitutes an offense under Section </w:t>
      </w:r>
      <w:r>
        <w:t xml:space="preserve">42.07</w:t>
      </w:r>
      <w:r>
        <w:t xml:space="preserve">, Penal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"Household" has the meaning assigned by Section </w:t>
      </w:r>
      <w:r>
        <w:t xml:space="preserve">71.005</w:t>
      </w:r>
      <w:r>
        <w:t xml:space="preserve">, Family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"Member of a household" has the meaning assigned by Section </w:t>
      </w:r>
      <w:r>
        <w:t xml:space="preserve">71.006</w:t>
      </w:r>
      <w:r>
        <w:t xml:space="preserve">, Family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"Stalking" means any conduct that constitutes an offense under Section </w:t>
      </w:r>
      <w:r>
        <w:t xml:space="preserve">42.072</w:t>
      </w:r>
      <w:r>
        <w:t xml:space="preserve">, Penal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"Terroristic threat" means any conduct that constitutes an offense under Section </w:t>
      </w:r>
      <w:r>
        <w:t xml:space="preserve">22.07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24 (S.B. </w:t>
      </w:r>
      <w:hyperlink w:docLocation="table" r:id="rId14">
        <w:r>
          <w:rPr>
            <w:rStyle w:val="Hyperlink"/>
          </w:rPr>
          <w:t>1325</w:t>
        </w:r>
      </w:hyperlink>
      <w:r>
        <w:t xml:space="preserve">), Sec. 2, eff. May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51A.002.</w:t>
      </w:r>
      <w:r xml:space="preserve">
        <w:t> </w:t>
      </w:r>
      <w:r xml:space="preserve">
        <w:t> </w:t>
      </w:r>
      <w:r>
        <w:t xml:space="preserve">APPLICABILITY TO VICTIMS OF CERTAIN OFFENSES.</w:t>
      </w:r>
      <w:r xml:space="preserve">
        <w:t> </w:t>
      </w:r>
      <w:r xml:space="preserve">
        <w:t> </w:t>
      </w:r>
      <w:r>
        <w:t xml:space="preserve">This chapter applies to a victim of family violence, stalking, harassment, or terroristic threat,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adult member of a family or household who is subjected to an act of family violence;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member of the household of the adult described by Subdivision (1), other than the member of the household who commits the act of family violence;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person who is subjected to conduct constituting stalking, harassment, or terroristic threat.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24 (S.B. </w:t>
      </w:r>
      <w:hyperlink w:docLocation="table" r:id="rId15">
        <w:r>
          <w:rPr>
            <w:rStyle w:val="Hyperlink"/>
          </w:rPr>
          <w:t>1325</w:t>
        </w:r>
      </w:hyperlink>
      <w:r>
        <w:t xml:space="preserve">), Sec. 2, eff. May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51A.003.</w:t>
      </w:r>
      <w:r xml:space="preserve">
        <w:t> </w:t>
      </w:r>
      <w:r xml:space="preserve">
        <w:t> </w:t>
      </w:r>
      <w:r>
        <w:t xml:space="preserve">NOTICE TO VICTIMS.  (a)</w:t>
      </w:r>
      <w:r xml:space="preserve">
        <w:t> </w:t>
      </w:r>
      <w:r xml:space="preserve">
        <w:t> </w:t>
      </w:r>
      <w:r>
        <w:t xml:space="preserve">The commission by rule shall adopt a written notice to be provided to victims of family violence, stalking, harassment, or terroristic threat to assist those victims in obtaining services.</w:t>
      </w:r>
      <w:r xml:space="preserve">
        <w:t> </w:t>
      </w:r>
      <w:r xml:space="preserve">
        <w:t> </w:t>
      </w:r>
      <w:r>
        <w:t xml:space="preserve">The commission shall use best practices in creating the written notice.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notice adopted under this section must include the following in both English and Spanish: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statement that it is a criminal offense for any person, including a member of the family or former member of the family, to cause physical injury or harm to a victim or to engage in conduct constituting stalking, harassment, or terroristic threat toward a victim;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list of agencies and social organizations that the victim may contact for assistance with safety planning, shelter, or protection;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contact information for: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National Domestic Violence Hotline;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victim support services at the Department of Public Safety;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commission's family violence program;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information regarding the legal rights of a victim, including information regarding: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filing of criminal charges and obtaining a protective order or a magistrate's order for emergency protection;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ability of a tenant who is a victim of family violence to vacate a dwelling and terminate a residential lease;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ability of the victim to provide information to the local prosecutor that will be helpful to a magistrate setting bail if the person committing the offense is arrested.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notice adopted under this section may include any other information the commission considers useful to a victim of family violence, stalking, harassment, or terroristic threat.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commission shall periodically update the notice required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commission shall make the notice adopted under this section available on the commission's Internet website in both English and Spanish.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24 (S.B. </w:t>
      </w:r>
      <w:hyperlink w:docLocation="table" r:id="rId16">
        <w:r>
          <w:rPr>
            <w:rStyle w:val="Hyperlink"/>
          </w:rPr>
          <w:t>1325</w:t>
        </w:r>
      </w:hyperlink>
      <w:r>
        <w:t xml:space="preserve">), Sec. 2, eff. May 13,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339 (S.B. </w:t>
      </w:r>
      <w:hyperlink w:docLocation="table" r:id="rId17">
        <w:r>
          <w:rPr>
            <w:rStyle w:val="Hyperlink"/>
          </w:rPr>
          <w:t>9</w:t>
        </w:r>
      </w:hyperlink>
      <w:r>
        <w:t xml:space="preserve">), Sec. 18,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1325F.HTM" TargetMode="External" Id="rId14" /><Relationship Type="http://schemas.openxmlformats.org/officeDocument/2006/relationships/hyperlink" Target="http://capitol.texas.gov/tlodocs/88R/billtext/html/SB01325F.HTM" TargetMode="External" Id="rId15" /><Relationship Type="http://schemas.openxmlformats.org/officeDocument/2006/relationships/hyperlink" Target="http://capitol.texas.gov/tlodocs/88R/billtext/html/SB01325F.HTM" TargetMode="External" Id="rId16" /><Relationship Type="http://schemas.openxmlformats.org/officeDocument/2006/relationships/hyperlink" Target="http://capitol.texas.gov/tlodocs/89R/billtext/html/SB00009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