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298C.  NUECES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Nueces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hospital that is not owned and operated by a federal or state government and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2019, 86th Leg., R.S., Ch. 694 (S.B. </w:t>
      </w:r>
      <w:hyperlink w:docLocation="table" r:id="rId14">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298C.002.</w:t>
      </w:r>
      <w:r xml:space="preserve">
        <w:t> </w:t>
      </w:r>
      <w:r xml:space="preserve">
        <w:t> </w:t>
      </w:r>
      <w:r>
        <w:t xml:space="preserve">APPLICABILITY.</w:t>
      </w:r>
      <w:r xml:space="preserve">
        <w:t> </w:t>
      </w:r>
      <w:r xml:space="preserve">
        <w:t> </w:t>
      </w:r>
      <w:r>
        <w:t xml:space="preserve">This chapter applies only to the Nueces County Hospital District.</w:t>
      </w:r>
    </w:p>
    <w:p w:rsidR="003F3435" w:rsidRDefault="0032493E">
      <w:pPr>
        <w:spacing w:line="480" w:lineRule="auto"/>
        <w:jc w:val="both"/>
      </w:pPr>
      <w:r>
        <w:t xml:space="preserve">Added by Acts 2019, 86th Leg., R.S., Ch. 694 (S.B. </w:t>
      </w:r>
      <w:hyperlink w:docLocation="table" r:id="rId15">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298C.003.</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694 (S.B. </w:t>
      </w:r>
      <w:hyperlink w:docLocation="table" r:id="rId16">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located in the district only in the manner provided by this chapter.</w:t>
      </w:r>
    </w:p>
    <w:p w:rsidR="003F3435" w:rsidRDefault="0032493E">
      <w:pPr>
        <w:spacing w:line="480" w:lineRule="auto"/>
        <w:jc w:val="both"/>
      </w:pPr>
      <w:r>
        <w:t xml:space="preserve">Added by Acts 2019, 86th Leg., R.S., Ch. 694 (S.B. </w:t>
      </w:r>
      <w:hyperlink w:docLocation="table" r:id="rId17">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2019, 86th Leg., R.S., Ch. 694 (S.B. </w:t>
      </w:r>
      <w:hyperlink w:docLocation="table" r:id="rId18">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shall require each institutional health care provider located in the district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2019, 86th Leg., R.S., Ch. 694 (S.B. </w:t>
      </w:r>
      <w:hyperlink w:docLocation="table" r:id="rId19">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298C.101.</w:t>
      </w:r>
      <w:r xml:space="preserve">
        <w:t> </w:t>
      </w:r>
      <w:r xml:space="preserve">
        <w:t> </w:t>
      </w:r>
      <w:r>
        <w:t xml:space="preserve">HEARING.  (a)</w:t>
      </w:r>
      <w:r xml:space="preserve">
        <w:t> </w:t>
      </w:r>
      <w:r xml:space="preserve">
        <w:t> </w:t>
      </w:r>
      <w:r>
        <w:t xml:space="preserve">In each fiscal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each institutional health care provider located in the district.</w:t>
      </w:r>
    </w:p>
    <w:p w:rsidR="003F3435" w:rsidRDefault="0032493E">
      <w:pPr>
        <w:spacing w:line="480" w:lineRule="auto"/>
        <w:jc w:val="both"/>
      </w:pPr>
      <w:r>
        <w:t xml:space="preserve">Added by Acts 2019, 86th Leg., R.S., Ch. 694 (S.B. </w:t>
      </w:r>
      <w:hyperlink w:docLocation="table" r:id="rId20">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2019, 86th Leg., R.S., Ch. 694 (S.B. </w:t>
      </w:r>
      <w:hyperlink w:docLocation="table" r:id="rId21">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hospitals in the Medicaid managed care service area in which the district is located,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delivery system reform incentive payments,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(C)</w:t>
      </w:r>
      <w:r xml:space="preserve">
        <w:t> </w:t>
      </w:r>
      <w:r xml:space="preserve">
        <w:t> </w:t>
      </w:r>
      <w:r>
        <w:t xml:space="preserve">uniform rate enhancements for hospitals in the Medicaid managed care service area in which the district is located;</w:t>
      </w:r>
    </w:p>
    <w:p w:rsidR="003F3435" w:rsidRDefault="0032493E">
      <w:pPr>
        <w:spacing w:line="480" w:lineRule="auto"/>
        <w:ind w:firstLine="2160"/>
        <w:jc w:val="both"/>
      </w:pPr>
      <w:r>
        <w:t xml:space="preserve">(D)</w:t>
      </w:r>
      <w:r xml:space="preserve">
        <w:t> </w:t>
      </w:r>
      <w:r xml:space="preserve">
        <w:t> </w:t>
      </w:r>
      <w:r>
        <w:t xml:space="preserve">payments available under another waiver program authorizing payments that are substantially similar to Medicaid payments to hospitals described by Paragraph (A), (B), or (C); or</w:t>
      </w:r>
    </w:p>
    <w:p w:rsidR="003F3435" w:rsidRDefault="0032493E">
      <w:pPr>
        <w:spacing w:line="480" w:lineRule="auto"/>
        <w:ind w:firstLine="2160"/>
        <w:jc w:val="both"/>
      </w:pPr>
      <w:r>
        <w:t xml:space="preserve">(E)</w:t>
      </w:r>
      <w:r xml:space="preserve">
        <w:t> </w:t>
      </w:r>
      <w:r xml:space="preserve">
        <w:t> </w:t>
      </w:r>
      <w:r>
        <w:t xml:space="preserve">any reimbursement to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298C.151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 uniform rate enhancements described by Subdivision (1)(C);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 or uniform rate enhancements described by Subdivision (1)(C);</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district if the district is required by the rules governing the uniform rate enhancement program described by Subdivision (1)(C)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that transfer may not be used by the state, district,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2019, 86th Leg., R.S., Ch. 694 (S.B. </w:t>
      </w:r>
      <w:hyperlink w:docLocation="table" r:id="rId22">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298C.151.</w:t>
      </w:r>
      <w:r xml:space="preserve">
        <w:t> </w:t>
      </w:r>
      <w:r xml:space="preserve">
        <w:t> </w:t>
      </w:r>
      <w:r>
        <w:t xml:space="preserve">MANDATORY PAYMENTS BASED ON PAYING PROVIDER NET PATIENT REVENUE.  (a)</w:t>
      </w:r>
      <w:r xml:space="preserve">
        <w:t> </w:t>
      </w:r>
      <w:r xml:space="preserve">
        <w:t> </w:t>
      </w:r>
      <w:r>
        <w:t xml:space="preserve">Except as provided by Subsection (e), if the board authorizes a health care provider participation program under this chapter, the board may require a mandatory payment to be assessed, either annually or periodically throughout the fiscal year at the discretion of the board, on the net patient revenue of each institutional health care provider located in the district.</w:t>
      </w:r>
      <w:r xml:space="preserve">
        <w:t> </w:t>
      </w:r>
      <w:r xml:space="preserve">
        <w:t> </w:t>
      </w:r>
      <w:r>
        <w:t xml:space="preserve">The board shall provide an institutional health care provider written notice of each assessment under this subsection, and the provider has 30 calendar days following the date of receipt of the notice to pay the assessment.</w:t>
      </w:r>
      <w:r xml:space="preserve">
        <w:t> </w:t>
      </w:r>
      <w:r xml:space="preserve">
        <w:t> </w:t>
      </w:r>
      <w:r>
        <w:t xml:space="preserve">In the first fiscal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If the mandatory payment is required, 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assessed under this chapter by the board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298C.103</w:t>
      </w:r>
      <w:r>
        <w:t xml:space="preserve">(c)(1).</w:t>
      </w:r>
      <w:r xml:space="preserve">
        <w:t> </w:t>
      </w:r>
      <w:r xml:space="preserve">
        <w:t> </w:t>
      </w:r>
      <w:r>
        <w:t xml:space="preserve">The annual amount of revenue from mandatory payments that shall be paid for administrative expenses by the district is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 for purposes of Section </w:t>
      </w:r>
      <w:r>
        <w:t xml:space="preserve">4</w:t>
      </w:r>
      <w:r>
        <w:t xml:space="preserve">, Article IX, Texas Constitution, or Section 281.045 of this code.</w:t>
      </w:r>
    </w:p>
    <w:p w:rsidR="003F3435" w:rsidRDefault="0032493E">
      <w:pPr>
        <w:spacing w:line="480" w:lineRule="auto"/>
        <w:jc w:val="both"/>
      </w:pPr>
      <w:r>
        <w:t xml:space="preserve">Added by Acts 2019, 86th Leg., R.S., Ch. 694 (S.B. </w:t>
      </w:r>
      <w:hyperlink w:docLocation="table" r:id="rId23">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2019, 86th Leg., R.S., Ch. 694 (S.B. </w:t>
      </w:r>
      <w:hyperlink w:docLocation="table" r:id="rId24">
        <w:r>
          <w:rPr>
            <w:rStyle w:val="Hyperlink"/>
          </w:rPr>
          <w:t>2315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298C.153.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the district to establish a program to enable the district to collect mandatory payments from institutional health care providers to fund the nonfederal share of a Medicaid supplemental payment program or the Medicaid managed care rate enhancements for hospitals to support the provision of health care by institutional health care providers located in the district.</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mandatory payments for the purpose of raising general revenue or any amount in excess of the amount reasonably necessary to fund the nonfederal share of a Medicaid supplemental payment program or Medicaid managed care rate enhancements for hospitals and to cover the administrative expenses of the district associated with activities under this chapter.</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uniform rate enhancement, or reimbursement described by Section </w:t>
      </w:r>
      <w:r>
        <w:t xml:space="preserve">298C.103</w:t>
      </w:r>
      <w:r>
        <w:t xml:space="preserve">(c)(1) is available to at least one institutional health care provider located in the district.</w:t>
      </w:r>
    </w:p>
    <w:p w:rsidR="003F3435" w:rsidRDefault="0032493E">
      <w:pPr>
        <w:spacing w:line="480" w:lineRule="auto"/>
        <w:jc w:val="both"/>
      </w:pPr>
      <w:r>
        <w:t xml:space="preserve">Added by Acts 2019, 86th Leg., R.S., Ch. 694 (S.B. </w:t>
      </w:r>
      <w:hyperlink w:docLocation="table" r:id="rId25">
        <w:r>
          <w:rPr>
            <w:rStyle w:val="Hyperlink"/>
          </w:rPr>
          <w:t>2315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315F.HTM" TargetMode="External" Id="rId14" /><Relationship Type="http://schemas.openxmlformats.org/officeDocument/2006/relationships/hyperlink" Target="http://capitol.texas.gov/tlodocs/86R/billtext/html/SB02315F.HTM" TargetMode="External" Id="rId15" /><Relationship Type="http://schemas.openxmlformats.org/officeDocument/2006/relationships/hyperlink" Target="http://capitol.texas.gov/tlodocs/86R/billtext/html/SB02315F.HTM" TargetMode="External" Id="rId16" /><Relationship Type="http://schemas.openxmlformats.org/officeDocument/2006/relationships/hyperlink" Target="http://capitol.texas.gov/tlodocs/86R/billtext/html/SB02315F.HTM" TargetMode="External" Id="rId17" /><Relationship Type="http://schemas.openxmlformats.org/officeDocument/2006/relationships/hyperlink" Target="http://capitol.texas.gov/tlodocs/86R/billtext/html/SB02315F.HTM" TargetMode="External" Id="rId18" /><Relationship Type="http://schemas.openxmlformats.org/officeDocument/2006/relationships/hyperlink" Target="http://capitol.texas.gov/tlodocs/86R/billtext/html/SB02315F.HTM" TargetMode="External" Id="rId19" /><Relationship Type="http://schemas.openxmlformats.org/officeDocument/2006/relationships/hyperlink" Target="http://capitol.texas.gov/tlodocs/86R/billtext/html/SB02315F.HTM" TargetMode="External" Id="rId20" /><Relationship Type="http://schemas.openxmlformats.org/officeDocument/2006/relationships/hyperlink" Target="http://capitol.texas.gov/tlodocs/86R/billtext/html/SB02315F.HTM" TargetMode="External" Id="rId21" /><Relationship Type="http://schemas.openxmlformats.org/officeDocument/2006/relationships/hyperlink" Target="http://capitol.texas.gov/tlodocs/86R/billtext/html/SB02315F.HTM" TargetMode="External" Id="rId22" /><Relationship Type="http://schemas.openxmlformats.org/officeDocument/2006/relationships/hyperlink" Target="http://capitol.texas.gov/tlodocs/86R/billtext/html/SB02315F.HTM" TargetMode="External" Id="rId23" /><Relationship Type="http://schemas.openxmlformats.org/officeDocument/2006/relationships/hyperlink" Target="http://capitol.texas.gov/tlodocs/86R/billtext/html/SB02315F.HTM" TargetMode="External" Id="rId24" /><Relationship Type="http://schemas.openxmlformats.org/officeDocument/2006/relationships/hyperlink" Target="http://capitol.texas.gov/tlodocs/86R/billtext/html/SB0231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