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1.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1.001.</w:t>
      </w:r>
      <w:r xml:space="preserve">
        <w:t> </w:t>
      </w:r>
      <w:r xml:space="preserve">
        <w:t> </w:t>
      </w:r>
      <w:r>
        <w:t xml:space="preserve">PURPOSE OF CODE.  (a)  This code is enacted as a part of the state's continuing statutory revision program, begun by the Texas Legislative Council in 1963 as directed by the legislature in the law codified as Chapter </w:t>
      </w:r>
      <w:r>
        <w:t xml:space="preserve">323</w:t>
      </w:r>
      <w:r>
        <w:t xml:space="preserve">, Government Code.  The program contemplates a topic-by-topic revision of the state's general and permanent statute law without substantive change.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Consistent with the objectives of the statutory revision program, the purpose of this code is to make the law encompassed by this code more accessible and understandable,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rearranging the statutes into a more logical order;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employing a format and numbering system designed to facilitate citation of the law and to accommodate future expansion of the law;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eliminating repealed, duplicative, unconstitutional, expired, executed, and other ineffective provisions;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restating the law in modern American English to the greatest extent possible.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1.002.</w:t>
      </w:r>
      <w:r xml:space="preserve">
        <w:t> </w:t>
      </w:r>
      <w:r xml:space="preserve">
        <w:t> </w:t>
      </w:r>
      <w:r>
        <w:t xml:space="preserve">CONSTRUCTION OF CODE.  Chapter </w:t>
      </w:r>
      <w:r>
        <w:t xml:space="preserve">311</w:t>
      </w:r>
      <w:r>
        <w:t xml:space="preserve">, Government Code (Code Construction Act), applies to the construction of each provision in this code except as otherwise expressly provided by this code.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1.003.</w:t>
      </w:r>
      <w:r xml:space="preserve">
        <w:t> </w:t>
      </w:r>
      <w:r xml:space="preserve">
        <w:t> </w:t>
      </w:r>
      <w:r>
        <w:t xml:space="preserve">INTERNAL REFERENCES.  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reference to a title, chapter, or section without further identification is a reference to a title, chapter, or section of this code;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reference to a subtitle, subchapter, subsection, subdivision, paragraph, or other numbered or lettered unit without further identification is a reference to a unit of the next larger unit of this code in which the reference appears.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1.004.</w:t>
      </w:r>
      <w:r xml:space="preserve">
        <w:t> </w:t>
      </w:r>
      <w:r xml:space="preserve">
        <w:t> </w:t>
      </w:r>
      <w:r>
        <w:t xml:space="preserve">REFERENCE IN LAW TO STATUTE REVISED BY CODE.  A reference in a law to a statute or a part of a statute revised by this code is considered to be a reference to the part of this code that revises that statute or part of the statute.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1.005.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code: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"Artificial swimming lagoon" means an artificial body of water used for recreational purposes with more than 20,000 square feet of surface area, an artificial liner, and a method of disinfectant. The term does not include a body of water open to the public that continuously recirculates water from a spring or a pool.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"Licensed practitioner" includes a sex offender treatment provider who is licensed under Chapter </w:t>
      </w:r>
      <w:r>
        <w:t xml:space="preserve">110</w:t>
      </w:r>
      <w:r>
        <w:t xml:space="preserve">, Occupations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"Public swimming pool" means an artificial body of water, including a spa, maintained expressly for public recreational purposes, swimming and similar aquatic sports, or therapeutic purposes.</w:t>
      </w:r>
      <w:r xml:space="preserve">
        <w:t> </w:t>
      </w:r>
      <w:r xml:space="preserve">
        <w:t> </w:t>
      </w:r>
      <w:r>
        <w:t xml:space="preserve">The term does not include an artificial swimming lagoon or a body of water open to the public that continuously recirculates water from a spring.</w:t>
      </w:r>
    </w:p>
    <w:p w:rsidR="003F3435" w:rsidRDefault="0032493E">
      <w:pPr>
        <w:spacing w:line="480" w:lineRule="auto"/>
        <w:jc w:val="both"/>
      </w:pPr>
      <w:r>
        <w:t xml:space="preserve">Added by Acts 2005, 79th Leg., Ch. 1089 (H.B. </w:t>
      </w:r>
      <w:hyperlink w:docLocation="table" r:id="rId14">
        <w:r>
          <w:rPr>
            <w:rStyle w:val="Hyperlink"/>
          </w:rPr>
          <w:t>2036</w:t>
        </w:r>
      </w:hyperlink>
      <w:r>
        <w:t xml:space="preserve">), Sec. 1, eff. September 1, 2005.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821 (H.B. </w:t>
      </w:r>
      <w:hyperlink w:docLocation="table" r:id="rId15">
        <w:r>
          <w:rPr>
            <w:rStyle w:val="Hyperlink"/>
          </w:rPr>
          <w:t>1468</w:t>
        </w:r>
      </w:hyperlink>
      <w:r>
        <w:t xml:space="preserve">), Sec. 1, eff. June 15,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1.006.</w:t>
      </w:r>
      <w:r xml:space="preserve">
        <w:t> </w:t>
      </w:r>
      <w:r xml:space="preserve">
        <w:t> </w:t>
      </w:r>
      <w:r>
        <w:t xml:space="preserve">REPORTS.</w:t>
      </w:r>
      <w:r xml:space="preserve">
        <w:t> </w:t>
      </w:r>
      <w:r xml:space="preserve">
        <w:t> </w:t>
      </w:r>
      <w:r>
        <w:t xml:space="preserve">Notwithstanding any other law, each report that is required by this code to be submitted to the governor or a member of the legislature must be submitted not later than December 1 of the year that the report is due.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664 (H.B. </w:t>
      </w:r>
      <w:hyperlink w:docLocation="table" r:id="rId16">
        <w:r>
          <w:rPr>
            <w:rStyle w:val="Hyperlink"/>
          </w:rPr>
          <w:t>4666</w:t>
        </w:r>
      </w:hyperlink>
      <w:r>
        <w:t xml:space="preserve">), Sec. 11, eff. June 20,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36F.HTM" TargetMode="External" Id="rId14" /><Relationship Type="http://schemas.openxmlformats.org/officeDocument/2006/relationships/hyperlink" Target="http://capitol.texas.gov/tlodocs/85R/billtext/html/HB01468F.HTM" TargetMode="External" Id="rId15" /><Relationship Type="http://schemas.openxmlformats.org/officeDocument/2006/relationships/hyperlink" Target="http://capitol.texas.gov/tlodocs/89R/billtext/html/HB04666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