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l="urn::tlc.state.tx.us.salsa.legdoc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 xmlns:w="http://schemas.openxmlformats.org/wordprocessingml/2006/main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l="urn::tlc.state.tx.us.salsa.legdoc">
    <w:p w:rsidR="003F3435" w:rsidRDefault="0032493E">
      <w:pPr>
        <w:spacing w:line="480" w:lineRule="auto"/>
        <w:jc w:val="center"/>
      </w:pPr>
      <w:r>
        <w:t xml:space="preserve">HEALTH AND SAFETY CODE</w:t>
      </w:r>
    </w:p>
    <w:p w:rsidR="003F3435" w:rsidRDefault="0032493E">
      <w:pPr>
        <w:spacing w:line="480" w:lineRule="auto"/>
        <w:jc w:val="center"/>
      </w:pPr>
      <w:r>
        <w:t xml:space="preserve">TITLE 2. HEALTH</w:t>
      </w:r>
    </w:p>
    <w:p w:rsidR="003F3435" w:rsidRDefault="0032493E">
      <w:pPr>
        <w:spacing w:line="480" w:lineRule="auto"/>
        <w:jc w:val="center"/>
      </w:pPr>
      <w:r>
        <w:t xml:space="preserve">SUBTITLE H. PUBLIC HEALTH PROVISIONS</w:t>
      </w:r>
    </w:p>
    <w:p w:rsidR="003F3435" w:rsidRDefault="0032493E">
      <w:pPr>
        <w:spacing w:line="480" w:lineRule="auto"/>
        <w:jc w:val="center"/>
      </w:pPr>
      <w:r>
        <w:t xml:space="preserve">CHAPTER 167A.  PELVIC EXAMINATIONS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167A.001.</w:t>
      </w:r>
      <w:r xml:space="preserve">
        <w:t> </w:t>
      </w:r>
      <w:r xml:space="preserve">
        <w:t> </w:t>
      </w:r>
      <w:r>
        <w:t xml:space="preserve">DEFINITIONS.</w:t>
      </w:r>
      <w:r xml:space="preserve">
        <w:t> </w:t>
      </w:r>
      <w:r xml:space="preserve">
        <w:t> </w:t>
      </w:r>
      <w:r>
        <w:t xml:space="preserve">In this chapter:</w:t>
      </w:r>
    </w:p>
    <w:p w:rsidR="003F3435" w:rsidRDefault="0032493E">
      <w:pPr>
        <w:spacing w:line="480" w:lineRule="auto"/>
        <w:ind w:firstLine="1440"/>
        <w:jc w:val="both"/>
      </w:pPr>
      <w:r>
        <w:t xml:space="preserve">(1)</w:t>
      </w:r>
      <w:r xml:space="preserve">
        <w:t> </w:t>
      </w:r>
      <w:r xml:space="preserve">
        <w:t> </w:t>
      </w:r>
      <w:r>
        <w:t xml:space="preserve">"Health care practitioner" means a physician, physician assistant, or advanced practice registered nurse licensed to practice in this state.</w:t>
      </w:r>
    </w:p>
    <w:p w:rsidR="003F3435" w:rsidRDefault="0032493E">
      <w:pPr>
        <w:spacing w:line="480" w:lineRule="auto"/>
        <w:ind w:firstLine="1440"/>
        <w:jc w:val="both"/>
      </w:pPr>
      <w:r>
        <w:t xml:space="preserve">(2)</w:t>
      </w:r>
      <w:r xml:space="preserve">
        <w:t> </w:t>
      </w:r>
      <w:r xml:space="preserve">
        <w:t> </w:t>
      </w:r>
      <w:r>
        <w:t xml:space="preserve">"Patient's legally authorized representative" means:</w:t>
      </w:r>
    </w:p>
    <w:p w:rsidR="003F3435" w:rsidRDefault="0032493E">
      <w:pPr>
        <w:spacing w:line="480" w:lineRule="auto"/>
        <w:ind w:firstLine="2160"/>
        <w:jc w:val="both"/>
      </w:pPr>
      <w:r>
        <w:t xml:space="preserve">(A)</w:t>
      </w:r>
      <w:r xml:space="preserve">
        <w:t> </w:t>
      </w:r>
      <w:r xml:space="preserve">
        <w:t> </w:t>
      </w:r>
      <w:r>
        <w:t xml:space="preserve">a parent, managing conservator, or guardian of a patient, if the patient is a minor;</w:t>
      </w:r>
    </w:p>
    <w:p w:rsidR="003F3435" w:rsidRDefault="0032493E">
      <w:pPr>
        <w:spacing w:line="480" w:lineRule="auto"/>
        <w:ind w:firstLine="2160"/>
        <w:jc w:val="both"/>
      </w:pPr>
      <w:r>
        <w:t xml:space="preserve">(B)</w:t>
      </w:r>
      <w:r xml:space="preserve">
        <w:t> </w:t>
      </w:r>
      <w:r xml:space="preserve">
        <w:t> </w:t>
      </w:r>
      <w:r>
        <w:t xml:space="preserve">a guardian of the patient, if the patient has been adjudicated incompetent to manage the patient's personal affairs; or</w:t>
      </w:r>
    </w:p>
    <w:p w:rsidR="003F3435" w:rsidRDefault="0032493E">
      <w:pPr>
        <w:spacing w:line="480" w:lineRule="auto"/>
        <w:ind w:firstLine="2160"/>
        <w:jc w:val="both"/>
      </w:pPr>
      <w:r>
        <w:t xml:space="preserve">(C)</w:t>
      </w:r>
      <w:r xml:space="preserve">
        <w:t> </w:t>
      </w:r>
      <w:r xml:space="preserve">
        <w:t> </w:t>
      </w:r>
      <w:r>
        <w:t xml:space="preserve">an agent of the patient authorized under a durable power of attorney for health care.</w:t>
      </w:r>
    </w:p>
    <w:p w:rsidR="003F3435" w:rsidRDefault="0032493E">
      <w:pPr>
        <w:spacing w:line="480" w:lineRule="auto"/>
        <w:ind w:firstLine="1440"/>
        <w:jc w:val="both"/>
      </w:pPr>
      <w:r>
        <w:t xml:space="preserve">(3)</w:t>
      </w:r>
      <w:r xml:space="preserve">
        <w:t> </w:t>
      </w:r>
      <w:r xml:space="preserve">
        <w:t> </w:t>
      </w:r>
      <w:r>
        <w:t xml:space="preserve">"Pelvic examination" means a physical examination by a health care practitioner of a patient's external and internal reproductive organs, genitalia, or rectum.</w:t>
      </w:r>
    </w:p>
    <w:p w:rsidR="003F3435" w:rsidRDefault="0032493E">
      <w:pPr>
        <w:spacing w:line="480" w:lineRule="auto"/>
        <w:jc w:val="both"/>
      </w:pPr>
      <w:r>
        <w:t xml:space="preserve">Added by Acts 2021, 87th Leg., R.S., Ch. 251 (H.B. </w:t>
      </w:r>
      <w:hyperlink w:docLocation="table" r:id="rId14">
        <w:r>
          <w:rPr>
            <w:rStyle w:val="Hyperlink"/>
          </w:rPr>
          <w:t>1434</w:t>
        </w:r>
      </w:hyperlink>
      <w:r>
        <w:t xml:space="preserve">), Sec. 1, eff. September 1, 2021.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167A.002.</w:t>
      </w:r>
      <w:r xml:space="preserve">
        <w:t> </w:t>
      </w:r>
      <w:r xml:space="preserve">
        <w:t> </w:t>
      </w:r>
      <w:r>
        <w:t xml:space="preserve">LIMITATIONS ON CERTAIN PELVIC EXAMINATIONS.  (a)</w:t>
      </w:r>
      <w:r xml:space="preserve">
        <w:t> </w:t>
      </w:r>
      <w:r xml:space="preserve">
        <w:t> </w:t>
      </w:r>
      <w:r>
        <w:t xml:space="preserve">A health care practitioner may not perform or delegate to another individual, including a student training to become a health care practitioner, the performance of a pelvic examination on an anesthetized or unconscious patient unless:</w:t>
      </w:r>
    </w:p>
    <w:p w:rsidR="003F3435" w:rsidRDefault="0032493E">
      <w:pPr>
        <w:spacing w:line="480" w:lineRule="auto"/>
        <w:ind w:firstLine="1440"/>
        <w:jc w:val="both"/>
      </w:pPr>
      <w:r>
        <w:t xml:space="preserve">(1)</w:t>
      </w:r>
      <w:r xml:space="preserve">
        <w:t> </w:t>
      </w:r>
      <w:r xml:space="preserve">
        <w:t> </w:t>
      </w:r>
      <w:r>
        <w:t xml:space="preserve">the pelvic examination is within the standard scope of a procedure or diagnostic examination scheduled to be performed on the patient;</w:t>
      </w:r>
    </w:p>
    <w:p w:rsidR="003F3435" w:rsidRDefault="0032493E">
      <w:pPr>
        <w:spacing w:line="480" w:lineRule="auto"/>
        <w:ind w:firstLine="1440"/>
        <w:jc w:val="both"/>
      </w:pPr>
      <w:r>
        <w:t xml:space="preserve">(2)</w:t>
      </w:r>
      <w:r xml:space="preserve">
        <w:t> </w:t>
      </w:r>
      <w:r xml:space="preserve">
        <w:t> </w:t>
      </w:r>
      <w:r>
        <w:t xml:space="preserve">the patient or the patient's legally authorized representative gives informed consent for the pelvic examination as provided by Subsection (b); </w:t>
      </w:r>
    </w:p>
    <w:p w:rsidR="003F3435" w:rsidRDefault="0032493E">
      <w:pPr>
        <w:spacing w:line="480" w:lineRule="auto"/>
        <w:ind w:firstLine="1440"/>
        <w:jc w:val="both"/>
      </w:pPr>
      <w:r>
        <w:t xml:space="preserve">(3)</w:t>
      </w:r>
      <w:r xml:space="preserve">
        <w:t> </w:t>
      </w:r>
      <w:r xml:space="preserve">
        <w:t> </w:t>
      </w:r>
      <w:r>
        <w:t xml:space="preserve">the pelvic examination is necessary for diagnosis or treatment of the patient's medical condition; or</w:t>
      </w:r>
    </w:p>
    <w:p w:rsidR="003F3435" w:rsidRDefault="0032493E">
      <w:pPr>
        <w:spacing w:line="480" w:lineRule="auto"/>
        <w:ind w:firstLine="1440"/>
        <w:jc w:val="both"/>
      </w:pPr>
      <w:r>
        <w:t xml:space="preserve">(4)</w:t>
      </w:r>
      <w:r xml:space="preserve">
        <w:t> </w:t>
      </w:r>
      <w:r xml:space="preserve">
        <w:t> </w:t>
      </w:r>
      <w:r>
        <w:t xml:space="preserve">the pelvic examination is for the purpose of collecting evidence.</w:t>
      </w:r>
    </w:p>
    <w:p w:rsidR="003F3435" w:rsidRDefault="0032493E">
      <w:pPr>
        <w:spacing w:line="480" w:lineRule="auto"/>
        <w:ind w:firstLine="720"/>
        <w:jc w:val="both"/>
      </w:pPr>
      <w:r>
        <w:t xml:space="preserve">(b)</w:t>
      </w:r>
      <w:r xml:space="preserve">
        <w:t> </w:t>
      </w:r>
      <w:r xml:space="preserve">
        <w:t> </w:t>
      </w:r>
      <w:r>
        <w:t xml:space="preserve">To obtain informed consent to perform a pelvic examination on an unconscious or anesthetized patient, a health care practitioner must:</w:t>
      </w:r>
    </w:p>
    <w:p w:rsidR="003F3435" w:rsidRDefault="0032493E">
      <w:pPr>
        <w:spacing w:line="480" w:lineRule="auto"/>
        <w:ind w:firstLine="1440"/>
        <w:jc w:val="both"/>
      </w:pPr>
      <w:r>
        <w:t xml:space="preserve">(1)</w:t>
      </w:r>
      <w:r xml:space="preserve">
        <w:t> </w:t>
      </w:r>
      <w:r xml:space="preserve">
        <w:t> </w:t>
      </w:r>
      <w:r>
        <w:t xml:space="preserve">provide the patient or the patient's legally authorized representative with a written or electronic informed consent form that:</w:t>
      </w:r>
    </w:p>
    <w:p w:rsidR="003F3435" w:rsidRDefault="0032493E">
      <w:pPr>
        <w:spacing w:line="480" w:lineRule="auto"/>
        <w:ind w:firstLine="2160"/>
        <w:jc w:val="both"/>
      </w:pPr>
      <w:r>
        <w:t xml:space="preserve">(A)</w:t>
      </w:r>
      <w:r xml:space="preserve">
        <w:t> </w:t>
      </w:r>
      <w:r xml:space="preserve">
        <w:t> </w:t>
      </w:r>
      <w:r>
        <w:t xml:space="preserve">may be included as a distinct or separate section of a general informed consent form; </w:t>
      </w:r>
    </w:p>
    <w:p w:rsidR="003F3435" w:rsidRDefault="0032493E">
      <w:pPr>
        <w:spacing w:line="480" w:lineRule="auto"/>
        <w:ind w:firstLine="2160"/>
        <w:jc w:val="both"/>
      </w:pPr>
      <w:r>
        <w:t xml:space="preserve">(B)</w:t>
      </w:r>
      <w:r xml:space="preserve">
        <w:t> </w:t>
      </w:r>
      <w:r xml:space="preserve">
        <w:t> </w:t>
      </w:r>
      <w:r>
        <w:t xml:space="preserve">contains the following heading at the top of the form in at least 18-point boldface type: "CONSENT FOR EXAMINATION OF PELVIC REGION";</w:t>
      </w:r>
    </w:p>
    <w:p w:rsidR="003F3435" w:rsidRDefault="0032493E">
      <w:pPr>
        <w:spacing w:line="480" w:lineRule="auto"/>
        <w:ind w:firstLine="2160"/>
        <w:jc w:val="both"/>
      </w:pPr>
      <w:r>
        <w:t xml:space="preserve">(C)</w:t>
      </w:r>
      <w:r xml:space="preserve">
        <w:t> </w:t>
      </w:r>
      <w:r xml:space="preserve">
        <w:t> </w:t>
      </w:r>
      <w:r>
        <w:t xml:space="preserve">specifies the nature and purpose of the pelvic examination; </w:t>
      </w:r>
    </w:p>
    <w:p w:rsidR="003F3435" w:rsidRDefault="0032493E">
      <w:pPr>
        <w:spacing w:line="480" w:lineRule="auto"/>
        <w:ind w:firstLine="2160"/>
        <w:jc w:val="both"/>
      </w:pPr>
      <w:r>
        <w:t xml:space="preserve">(D)</w:t>
      </w:r>
      <w:r xml:space="preserve">
        <w:t> </w:t>
      </w:r>
      <w:r xml:space="preserve">
        <w:t> </w:t>
      </w:r>
      <w:r>
        <w:t xml:space="preserve">informs the patient or the patient's legally authorized representative that a medical student or resident may be present if the patient or the patient's legally authorized representative authorizes the student or resident to:</w:t>
      </w:r>
      <w:r xml:space="preserve">
        <w:t> </w:t>
      </w:r>
      <w:r xml:space="preserve">
        <w:t> </w:t>
      </w:r>
    </w:p>
    <w:p w:rsidR="003F3435" w:rsidRDefault="0032493E">
      <w:pPr>
        <w:spacing w:line="480" w:lineRule="auto"/>
        <w:ind w:firstLine="2880"/>
        <w:jc w:val="both"/>
      </w:pPr>
      <w:r>
        <w:t xml:space="preserve">(i)</w:t>
      </w:r>
      <w:r xml:space="preserve">
        <w:t> </w:t>
      </w:r>
      <w:r xml:space="preserve">
        <w:t> </w:t>
      </w:r>
      <w:r>
        <w:t xml:space="preserve">perform the pelvic examination; or </w:t>
      </w:r>
    </w:p>
    <w:p w:rsidR="003F3435" w:rsidRDefault="0032493E">
      <w:pPr>
        <w:spacing w:line="480" w:lineRule="auto"/>
        <w:ind w:firstLine="2880"/>
        <w:jc w:val="both"/>
      </w:pPr>
      <w:r>
        <w:t xml:space="preserve">(ii)</w:t>
      </w:r>
      <w:r xml:space="preserve">
        <w:t> </w:t>
      </w:r>
      <w:r xml:space="preserve">
        <w:t> </w:t>
      </w:r>
      <w:r>
        <w:t xml:space="preserve">observe or otherwise be present at the pelvic examination, either in person or through electronic means; </w:t>
      </w:r>
    </w:p>
    <w:p w:rsidR="003F3435" w:rsidRDefault="0032493E">
      <w:pPr>
        <w:spacing w:line="480" w:lineRule="auto"/>
        <w:ind w:firstLine="2160"/>
        <w:jc w:val="both"/>
      </w:pPr>
      <w:r>
        <w:t xml:space="preserve">(E)</w:t>
      </w:r>
      <w:r xml:space="preserve">
        <w:t> </w:t>
      </w:r>
      <w:r xml:space="preserve">
        <w:t> </w:t>
      </w:r>
      <w:r>
        <w:t xml:space="preserve">allows the patient or the patient's legally authorized representative the opportunity to consent to or refuse to consent to the pelvic examination; and</w:t>
      </w:r>
    </w:p>
    <w:p w:rsidR="003F3435" w:rsidRDefault="0032493E">
      <w:pPr>
        <w:spacing w:line="480" w:lineRule="auto"/>
        <w:ind w:firstLine="2160"/>
        <w:jc w:val="both"/>
      </w:pPr>
      <w:r>
        <w:t xml:space="preserve">(F)</w:t>
      </w:r>
      <w:r xml:space="preserve">
        <w:t> </w:t>
      </w:r>
      <w:r xml:space="preserve">
        <w:t> </w:t>
      </w:r>
      <w:r>
        <w:t xml:space="preserve">allows a patient or a patient's legally authorized representative that consents to a pelvic examination under Paragraph (E) the opportunity to authorize or refuse to authorize: </w:t>
      </w:r>
    </w:p>
    <w:p w:rsidR="003F3435" w:rsidRDefault="0032493E">
      <w:pPr>
        <w:spacing w:line="480" w:lineRule="auto"/>
        <w:ind w:firstLine="2880"/>
        <w:jc w:val="both"/>
      </w:pPr>
      <w:r>
        <w:t xml:space="preserve">(i)</w:t>
      </w:r>
      <w:r xml:space="preserve">
        <w:t> </w:t>
      </w:r>
      <w:r xml:space="preserve">
        <w:t> </w:t>
      </w:r>
      <w:r>
        <w:t xml:space="preserve">a medical student or resident to perform the pelvic examination; or</w:t>
      </w:r>
    </w:p>
    <w:p w:rsidR="003F3435" w:rsidRDefault="0032493E">
      <w:pPr>
        <w:spacing w:line="480" w:lineRule="auto"/>
        <w:ind w:firstLine="2880"/>
        <w:jc w:val="both"/>
      </w:pPr>
      <w:r>
        <w:t xml:space="preserve">(ii)</w:t>
      </w:r>
      <w:r xml:space="preserve">
        <w:t> </w:t>
      </w:r>
      <w:r xml:space="preserve">
        <w:t> </w:t>
      </w:r>
      <w:r>
        <w:t xml:space="preserve">a medical student or resident to observe or otherwise be present at the pelvic examination, either in person or through electronic means;</w:t>
      </w:r>
    </w:p>
    <w:p w:rsidR="003F3435" w:rsidRDefault="0032493E">
      <w:pPr>
        <w:spacing w:line="480" w:lineRule="auto"/>
        <w:ind w:firstLine="1440"/>
        <w:jc w:val="both"/>
      </w:pPr>
      <w:r>
        <w:t xml:space="preserve">(2)</w:t>
      </w:r>
      <w:r xml:space="preserve">
        <w:t> </w:t>
      </w:r>
      <w:r xml:space="preserve">
        <w:t> </w:t>
      </w:r>
      <w:r>
        <w:t xml:space="preserve">obtain the signature of the patient or the patient's legally authorized representative on the informed consent form; and</w:t>
      </w:r>
    </w:p>
    <w:p w:rsidR="003F3435" w:rsidRDefault="0032493E">
      <w:pPr>
        <w:spacing w:line="480" w:lineRule="auto"/>
        <w:ind w:firstLine="1440"/>
        <w:jc w:val="both"/>
      </w:pPr>
      <w:r>
        <w:t xml:space="preserve">(3)</w:t>
      </w:r>
      <w:r xml:space="preserve">
        <w:t> </w:t>
      </w:r>
      <w:r xml:space="preserve">
        <w:t> </w:t>
      </w:r>
      <w:r>
        <w:t xml:space="preserve">sign the informed consent form. </w:t>
      </w:r>
    </w:p>
    <w:p w:rsidR="003F3435" w:rsidRDefault="0032493E">
      <w:pPr>
        <w:spacing w:line="480" w:lineRule="auto"/>
        <w:jc w:val="both"/>
      </w:pPr>
      <w:r>
        <w:t xml:space="preserve">Added by Acts 2021, 87th Leg., R.S., Ch. 251 (H.B. </w:t>
      </w:r>
      <w:hyperlink w:docLocation="table" r:id="rId15">
        <w:r>
          <w:rPr>
            <w:rStyle w:val="Hyperlink"/>
          </w:rPr>
          <w:t>1434</w:t>
        </w:r>
      </w:hyperlink>
      <w:r>
        <w:t xml:space="preserve">), Sec. 1, eff. September 1, 2021.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167A.003.</w:t>
      </w:r>
      <w:r xml:space="preserve">
        <w:t> </w:t>
      </w:r>
      <w:r xml:space="preserve">
        <w:t> </w:t>
      </w:r>
      <w:r>
        <w:t xml:space="preserve">DISCIPLINARY ACTION.</w:t>
      </w:r>
      <w:r xml:space="preserve">
        <w:t> </w:t>
      </w:r>
      <w:r xml:space="preserve">
        <w:t> </w:t>
      </w:r>
      <w:r>
        <w:t xml:space="preserve">The appropriate licensing authority may take disciplinary action against a health care practitioner who violates Section </w:t>
      </w:r>
      <w:r>
        <w:t xml:space="preserve">167A.002</w:t>
      </w:r>
      <w:r>
        <w:t xml:space="preserve">, including imposing an administrative penalty, as if the practitioner violated an applicable licensing law.</w:t>
      </w:r>
    </w:p>
    <w:p w:rsidR="003F3435" w:rsidRDefault="0032493E">
      <w:pPr>
        <w:spacing w:line="480" w:lineRule="auto"/>
        <w:jc w:val="both"/>
      </w:pPr>
      <w:r>
        <w:t xml:space="preserve">Added by Acts 2021, 87th Leg., R.S., Ch. 251 (H.B. </w:t>
      </w:r>
      <w:hyperlink w:docLocation="table" r:id="rId16">
        <w:r>
          <w:rPr>
            <w:rStyle w:val="Hyperlink"/>
          </w:rPr>
          <w:t>1434</w:t>
        </w:r>
      </w:hyperlink>
      <w:r>
        <w:t xml:space="preserve">), Sec. 1, eff. September 1, 2021.</w:t>
      </w:r>
    </w:p>
    <w:sectPr w:rsidRPr="004B75FD" w:rsidR="003F3435" w:rsidSect="003F3435">
      <w:headerReference w:type="default" r:id="rId8"/>
      <w:footerReference w:type="default" r:id="rId9"/>
      <w:headerReference w:type="first" r:id="rId10"/>
      <w:footerReference w:type="first" r:id="rId11"/>
      <w:pgSz w:w="12240" w:h="20160" w:code="5"/>
      <w:pgMar w:top="1440" w:right="1440" w:bottom="1080" w:left="1440" w:header="0" w:footer="144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A4038E" w:rsidRDefault="00A4038E">
      <w:r>
        <w:separator/>
      </w:r>
    </w:p>
  </w:endnote>
  <w:endnote w:type="continuationSeparator" w:id="0">
    <w:p w:rsidR="00A4038E" w:rsidRDefault="00A4038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F3435" w:rsidRDefault="003F3435"/>
  <w:p w:rsidR="003F3435" w:rsidRDefault="003F3435"/>
  <w:p w:rsidR="003F3435" w:rsidRDefault="0032493E">
    <w:pPr>
      <w:pStyle w:val="Footer"/>
    </w:pPr>
    <w:r>
      <w:tab/>
      <w:t>Page -</w:t>
    </w:r>
    <w:r w:rsidR="003F3435">
      <w:fldChar w:fldCharType="begin"/>
    </w:r>
    <w:r>
      <w:instrText xml:space="preserve"> PAGE </w:instrText>
    </w:r>
    <w:r w:rsidR="003F3435">
      <w:fldChar w:fldCharType="separate"/>
    </w:r>
    <w:r w:rsidR="00A84F78">
      <w:rPr>
        <w:noProof/>
      </w:rPr>
      <w:t>2</w:t>
    </w:r>
    <w:r w:rsidR="003F3435">
      <w:fldChar w:fldCharType="end"/>
    </w:r>
    <w:r>
      <w:t xml:space="preserve"> -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F3435" w:rsidRDefault="003F3435"/>
  <w:p w:rsidR="003F3435" w:rsidRDefault="003F3435"/>
  <w:p w:rsidR="003F3435" w:rsidRDefault="0032493E">
    <w:pPr>
      <w:pStyle w:val="Footer"/>
    </w:pPr>
    <w:r>
      <w:tab/>
      <w:t xml:space="preserve">Page - </w:t>
    </w:r>
    <w:r w:rsidR="003F3435">
      <w:fldChar w:fldCharType="begin"/>
    </w:r>
    <w:r>
      <w:instrText xml:space="preserve"> PAGE </w:instrText>
    </w:r>
    <w:r w:rsidR="003F3435">
      <w:fldChar w:fldCharType="separate"/>
    </w:r>
    <w:r w:rsidR="00A84F78">
      <w:rPr>
        <w:noProof/>
      </w:rPr>
      <w:t>1</w:t>
    </w:r>
    <w:r w:rsidR="003F3435">
      <w:fldChar w:fldCharType="end"/>
    </w:r>
    <w:r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A4038E" w:rsidRDefault="00A4038E">
      <w:r>
        <w:separator/>
      </w:r>
    </w:p>
  </w:footnote>
  <w:footnote w:type="continuationSeparator" w:id="0">
    <w:p w:rsidR="00A4038E" w:rsidRDefault="00A4038E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5"/>
  <w:embedSystemFonts/>
  <w:bordersDoNotSurroundHeader/>
  <w:bordersDoNotSurroundFooter/>
  <w:proofState w:spelling="clean" w:grammar="clean"/>
  <w:defaultTabStop w:val="720"/>
  <w:doNotHyphenateCap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useSingleBorderforContiguousCells/>
    <w:wpJustification/>
    <w:noTabHangInd/>
    <w:subFontBySize/>
    <w:suppressBottomSpacing/>
    <w:truncateFontHeightsLikeWP6/>
    <w:usePrinterMetrics/>
    <w:wrapTrailSpaces/>
    <w:footnoteLayoutLikeWW8/>
    <w:shapeLayoutLikeWW8/>
    <w:alignTablesRowByRow/>
    <w:forgetLastTabAlignment/>
    <w:doNotUseHTMLParagraphAutoSpacing/>
    <w:layoutRawTableWidth/>
    <w:layoutTableRowsApart/>
    <w:useWord97LineBreakRules/>
    <w:doNotSnapToGridInCell/>
    <w:selectFldWithFirstOrLastChar/>
    <w:doNotWrapTextWithPunct/>
    <w:doNotUseEastAsianBreakRules/>
    <w:useWord2002TableStyleRules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4"/>
  </w:compat>
  <w:rsids>
    <w:rsidRoot w:val="003F3435"/>
    <w:rsid w:val="000C687B"/>
    <w:rsid w:val="002F7BA8"/>
    <w:rsid w:val="0032493E"/>
    <w:rsid w:val="0037454E"/>
    <w:rsid w:val="003F3435"/>
    <w:rsid w:val="00466BFE"/>
    <w:rsid w:val="004E5B79"/>
    <w:rsid w:val="007F5228"/>
    <w:rsid w:val="008A75EB"/>
    <w:rsid w:val="00A4038E"/>
    <w:rsid w:val="00A84F78"/>
    <w:rsid w:val="00FA7F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attachedSchema w:val="http://www.w3.org/2001/XMLSchema-instance"/>
  <w:attachedSchema w:val="urn::tlc.state.tx.us.salsa.legdoc"/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41DDB"/>
    <w:pPr>
      <w:widowControl w:val="0"/>
      <w:autoSpaceDE w:val="0"/>
      <w:autoSpaceDN w:val="0"/>
      <w:adjustRightInd w:val="0"/>
    </w:pPr>
    <w:rPr>
      <w:rFonts w:ascii="Courier New" w:hAnsi="Courier New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FootnoteReference">
    <w:name w:val="footnote reference"/>
    <w:semiHidden/>
    <w:rsid w:val="00741DDB"/>
  </w:style>
  <w:style w:type="character" w:styleId="LineNumber">
    <w:name w:val="line number"/>
    <w:basedOn w:val="DefaultParagraphFont"/>
    <w:rsid w:val="00741DDB"/>
    <w:rPr>
      <w:rFonts w:ascii="Courier New" w:hAnsi="Courier New"/>
      <w:b/>
      <w:sz w:val="24"/>
      <w:szCs w:val="24"/>
    </w:rPr>
  </w:style>
  <w:style w:type="character" w:customStyle="1" w:styleId="StyleCourierNew">
    <w:name w:val="Style Courier New"/>
    <w:basedOn w:val="DefaultParagraphFont"/>
    <w:rsid w:val="003F3435"/>
  </w:style>
  <w:style w:type="paragraph" w:customStyle="1" w:styleId="NormalText">
    <w:name w:val="NormalText"/>
    <w:basedOn w:val="Normal"/>
    <w:rsid w:val="00513B28"/>
    <w:pPr>
      <w:spacing w:line="480" w:lineRule="auto"/>
      <w:ind w:firstLine="720"/>
      <w:jc w:val="both"/>
    </w:pPr>
    <w:rPr>
      <w:szCs w:val="20"/>
    </w:rPr>
  </w:style>
  <w:style w:type="character" w:customStyle="1" w:styleId="StruckText">
    <w:name w:val="StruckText"/>
    <w:basedOn w:val="DefaultParagraphFont"/>
    <w:rsid w:val="00513B28"/>
    <w:rPr>
      <w:rFonts w:ascii="Courier New" w:hAnsi="Courier New"/>
      <w:strike/>
    </w:rPr>
  </w:style>
  <w:style w:type="character" w:customStyle="1" w:styleId="InsertedText">
    <w:name w:val="InsertedText"/>
    <w:basedOn w:val="DefaultParagraphFont"/>
    <w:rsid w:val="00513B28"/>
    <w:rPr>
      <w:rFonts w:ascii="Courier New" w:hAnsi="Courier New"/>
      <w:u w:val="single"/>
    </w:rPr>
  </w:style>
  <w:style w:type="character" w:customStyle="1" w:styleId="HardSp">
    <w:name w:val="HardSp"/>
    <w:basedOn w:val="DefaultParagraphFont"/>
    <w:rsid w:val="003F3435"/>
    <w:rPr>
      <w:rFonts w:ascii="Courier New" w:hAnsi="Courier New"/>
    </w:rPr>
  </w:style>
  <w:style w:type="character" w:customStyle="1" w:styleId="SoftSp">
    <w:name w:val="SoftSp"/>
    <w:basedOn w:val="DefaultParagraphFont"/>
    <w:rsid w:val="003F3435"/>
    <w:rPr>
      <w:rFonts w:ascii="Courier New" w:hAnsi="Courier New"/>
    </w:rPr>
  </w:style>
  <w:style w:type="character" w:customStyle="1" w:styleId="InsertedText0">
    <w:name w:val="InsertedText"/>
    <w:basedOn w:val="DefaultParagraphFont"/>
    <w:rsid w:val="003F3435"/>
    <w:rPr>
      <w:rFonts w:ascii="Courier New" w:hAnsi="Courier New"/>
    </w:rPr>
  </w:style>
  <w:style w:type="paragraph" w:customStyle="1" w:styleId="NormalPara">
    <w:name w:val="NormalPara"/>
    <w:basedOn w:val="NormalText"/>
    <w:rsid w:val="00513B28"/>
  </w:style>
  <w:style w:type="paragraph" w:styleId="Footer">
    <w:name w:val="footer"/>
    <w:basedOn w:val="Normal"/>
    <w:rsid w:val="003F3435"/>
    <w:pPr>
      <w:tabs>
        <w:tab w:val="center" w:pos="4320"/>
        <w:tab w:val="right" w:pos="8640"/>
      </w:tabs>
    </w:pPr>
  </w:style>
  <w:style w:type="character" w:styleId="Hyperlink">
    <w:name w:val="Hyperlink"/>
    <w:basedOn w:val="DefaultParagraphFont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0C687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C687B"/>
    <w:rPr>
      <w:rFonts w:ascii="Courier New" w:hAnsi="Courier New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41DDB"/>
    <w:pPr>
      <w:widowControl w:val="0"/>
      <w:autoSpaceDE w:val="0"/>
      <w:autoSpaceDN w:val="0"/>
      <w:adjustRightInd w:val="0"/>
    </w:pPr>
    <w:rPr>
      <w:rFonts w:ascii="Courier New" w:hAnsi="Courier New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FootnoteReference">
    <w:name w:val="footnote reference"/>
    <w:semiHidden/>
    <w:rsid w:val="00741DDB"/>
  </w:style>
  <w:style w:type="character" w:styleId="LineNumber">
    <w:name w:val="line number"/>
    <w:basedOn w:val="DefaultParagraphFont"/>
    <w:rsid w:val="00741DDB"/>
    <w:rPr>
      <w:rFonts w:ascii="Courier New" w:hAnsi="Courier New"/>
      <w:b/>
      <w:sz w:val="24"/>
      <w:szCs w:val="24"/>
    </w:rPr>
  </w:style>
  <w:style w:type="character" w:customStyle="1" w:styleId="StyleCourierNew">
    <w:name w:val="Style Courier New"/>
    <w:basedOn w:val="DefaultParagraphFont"/>
    <w:rsid w:val="003F3435"/>
  </w:style>
  <w:style w:type="paragraph" w:customStyle="1" w:styleId="NormalText">
    <w:name w:val="NormalText"/>
    <w:basedOn w:val="Normal"/>
    <w:rsid w:val="00513B28"/>
    <w:pPr>
      <w:spacing w:line="480" w:lineRule="auto"/>
      <w:ind w:firstLine="720"/>
      <w:jc w:val="both"/>
    </w:pPr>
    <w:rPr>
      <w:szCs w:val="20"/>
    </w:rPr>
  </w:style>
  <w:style w:type="character" w:customStyle="1" w:styleId="StruckText">
    <w:name w:val="StruckText"/>
    <w:basedOn w:val="DefaultParagraphFont"/>
    <w:rsid w:val="00513B28"/>
    <w:rPr>
      <w:rFonts w:ascii="Courier New" w:hAnsi="Courier New"/>
      <w:strike/>
    </w:rPr>
  </w:style>
  <w:style w:type="character" w:customStyle="1" w:styleId="InsertedText">
    <w:name w:val="InsertedText"/>
    <w:basedOn w:val="DefaultParagraphFont"/>
    <w:rsid w:val="00513B28"/>
    <w:rPr>
      <w:rFonts w:ascii="Courier New" w:hAnsi="Courier New"/>
      <w:u w:val="single"/>
    </w:rPr>
  </w:style>
  <w:style w:type="character" w:customStyle="1" w:styleId="HardSp">
    <w:name w:val="HardSp"/>
    <w:basedOn w:val="DefaultParagraphFont"/>
    <w:rsid w:val="003F3435"/>
    <w:rPr>
      <w:rFonts w:ascii="Courier New" w:hAnsi="Courier New"/>
    </w:rPr>
  </w:style>
  <w:style w:type="character" w:customStyle="1" w:styleId="SoftSp">
    <w:name w:val="SoftSp"/>
    <w:basedOn w:val="DefaultParagraphFont"/>
    <w:rsid w:val="003F3435"/>
    <w:rPr>
      <w:rFonts w:ascii="Courier New" w:hAnsi="Courier New"/>
    </w:rPr>
  </w:style>
  <w:style w:type="character" w:customStyle="1" w:styleId="InsertedText0">
    <w:name w:val="InsertedText"/>
    <w:basedOn w:val="DefaultParagraphFont"/>
    <w:rsid w:val="003F3435"/>
    <w:rPr>
      <w:rFonts w:ascii="Courier New" w:hAnsi="Courier New"/>
    </w:rPr>
  </w:style>
  <w:style w:type="paragraph" w:customStyle="1" w:styleId="NormalPara">
    <w:name w:val="NormalPara"/>
    <w:basedOn w:val="NormalText"/>
    <w:rsid w:val="00513B28"/>
  </w:style>
  <w:style w:type="paragraph" w:styleId="Footer">
    <w:name w:val="footer"/>
    <w:basedOn w:val="Normal"/>
    <w:rsid w:val="003F3435"/>
    <w:pPr>
      <w:tabs>
        <w:tab w:val="center" w:pos="4320"/>
        <w:tab w:val="right" w:pos="8640"/>
      </w:tabs>
    </w:pPr>
  </w:style>
  <w:style w:type="character" w:styleId="Hyperlink">
    <w:name w:val="Hyperlink"/>
    <w:basedOn w:val="DefaultParagraphFont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0C687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C687B"/>
    <w:rPr>
      <w:rFonts w:ascii="Courier New" w:hAnsi="Courier New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header" Target="header1.xml" Id="rId8" /><Relationship Type="http://schemas.openxmlformats.org/officeDocument/2006/relationships/theme" Target="theme/theme1.xml" Id="rId13" /><Relationship Type="http://schemas.microsoft.com/office/2007/relationships/stylesWithEffects" Target="stylesWithEffects.xml" Id="rId3" /><Relationship Type="http://schemas.openxmlformats.org/officeDocument/2006/relationships/endnotes" Target="endnotes.xml" Id="rId7" /><Relationship Type="http://schemas.openxmlformats.org/officeDocument/2006/relationships/fontTable" Target="fontTable.xml" Id="rId12" /><Relationship Type="http://schemas.openxmlformats.org/officeDocument/2006/relationships/styles" Target="styles.xml" Id="rId2" /><Relationship Type="http://schemas.openxmlformats.org/officeDocument/2006/relationships/customXml" Target="../customXml/item1.xml" Id="rId1" /><Relationship Type="http://schemas.openxmlformats.org/officeDocument/2006/relationships/footnotes" Target="footnotes.xml" Id="rId6" /><Relationship Type="http://schemas.openxmlformats.org/officeDocument/2006/relationships/footer" Target="footer2.xml" Id="rId11" /><Relationship Type="http://schemas.openxmlformats.org/officeDocument/2006/relationships/webSettings" Target="webSettings.xml" Id="rId5" /><Relationship Type="http://schemas.openxmlformats.org/officeDocument/2006/relationships/header" Target="header2.xml" Id="rId10" /><Relationship Type="http://schemas.openxmlformats.org/officeDocument/2006/relationships/settings" Target="settings.xml" Id="rId4" /><Relationship Type="http://schemas.openxmlformats.org/officeDocument/2006/relationships/footer" Target="footer1.xml" Id="rId9" /><Relationship Type="http://schemas.openxmlformats.org/officeDocument/2006/relationships/hyperlink" Target="http://capitol.texas.gov/tlodocs/87R/billtext/html/HB01434F.HTM" TargetMode="External" Id="rId14" /><Relationship Type="http://schemas.openxmlformats.org/officeDocument/2006/relationships/hyperlink" Target="http://capitol.texas.gov/tlodocs/87R/billtext/html/HB01434F.HTM" TargetMode="External" Id="rId15" /><Relationship Type="http://schemas.openxmlformats.org/officeDocument/2006/relationships/hyperlink" Target="http://capitol.texas.gov/tlodocs/87R/billtext/html/HB01434F.HTM" TargetMode="External" Id="rId16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F01F149-FB89-4C68-ACE2-25068F986D2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380</Words>
  <Characters>2169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Texas Legislative Council</Company>
  <LinksUpToDate>false</LinksUpToDate>
  <CharactersWithSpaces>2544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salsap</dc:creator>
  <cp:lastModifiedBy>SALSA</cp:lastModifiedBy>
  <cp:revision>2</cp:revision>
  <cp:lastPrinted>2015-11-03T17:46:00Z</cp:lastPrinted>
  <dcterms:created xsi:type="dcterms:W3CDTF">2015-11-04T19:55:00Z</dcterms:created>
  <dcterms:modified xsi:type="dcterms:W3CDTF">2015-11-04T19:55:00Z</dcterms:modified>
</cp:coreProperties>
</file>