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J. PAYMENT FOR HEALTH CARE SERVICES AND SUPPLIES</w:t>
      </w:r>
    </w:p>
    <w:p w:rsidR="003F3435" w:rsidRDefault="0032493E">
      <w:pPr>
        <w:spacing w:line="480" w:lineRule="auto"/>
        <w:jc w:val="center"/>
      </w:pPr>
      <w:r>
        <w:t xml:space="preserve">CHAPTER 185. HEALTH CARE BILLING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185.001.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"Debt collection" has the meaning assigned by Section </w:t>
      </w:r>
      <w:r>
        <w:t xml:space="preserve">392.001</w:t>
      </w:r>
      <w:r>
        <w:t xml:space="preserve">, Finance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"Health care provider" means a facility licensed, certified, or otherwise authorized to provide health care services or supplies in this state in the ordinary course of business, including a hospital, except the term does not include a federally-qualified health center, as defined by 42 U.S.C. Section 1396d(l)(2)(B).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"Health care service" means a service a health care provider provides to an individual to diagnose, prevent, treat, alleviate, cure, or heal a human health condition, illness, injury, or disease.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271 (S.B. </w:t>
      </w:r>
      <w:hyperlink w:docLocation="table" r:id="rId14">
        <w:r>
          <w:rPr>
            <w:rStyle w:val="Hyperlink"/>
          </w:rPr>
          <w:t>490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185.002.</w:t>
      </w:r>
      <w:r xml:space="preserve">
        <w:t> </w:t>
      </w:r>
      <w:r xml:space="preserve">
        <w:t> </w:t>
      </w:r>
      <w:r>
        <w:t xml:space="preserve">ITEMIZED BILL REQUIRED.  (a)</w:t>
      </w:r>
      <w:r xml:space="preserve">
        <w:t> </w:t>
      </w:r>
      <w:r xml:space="preserve">
        <w:t> </w:t>
      </w:r>
      <w:r>
        <w:t xml:space="preserve">A health care provider that requests payment from a patient after providing a health care service or related supply to the patient shall submit with the request a written, itemized bill of the alleged amount due for each service and supply provided to the patient during the patient's visit to the provider.</w:t>
      </w:r>
      <w:r xml:space="preserve">
        <w:t> </w:t>
      </w:r>
      <w:r xml:space="preserve">
        <w:t> </w:t>
      </w:r>
      <w:r>
        <w:t xml:space="preserve">The provider must submit the itemized bill not later than the 30th day after the provider receives a final payment on the provided service or supply from a third party.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itemized bill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plain language description of each distinct health care service or supply the health care provider provided to the patient;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if the provider sought or is seeking reimbursement from a third party, any billing code submitted to the third party and the amounts billed to and paid by that third party;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amount the provider alleges is due from the patient for each service and supply provided to the patient.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health care provider may issue the itemized bill: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electronically, including through a patient portal on the provider's Internet website, subject to Subsection (c-1);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through a hard copy delivered by mail or a common carrier;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through a hard copy the patient or the patient's designee obtains at the provider's place of business.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(c-1)</w:t>
      </w:r>
      <w:r xml:space="preserve">
        <w:t> </w:t>
      </w:r>
      <w:r xml:space="preserve">
        <w:t> </w:t>
      </w:r>
      <w:r>
        <w:t xml:space="preserve">A health care provider that issues an itemized bill to a patient electronically through a patient portal under Subsection (c)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determine whether the patient has an active patient profile on the portal, if feasible;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mail, e-mail, or provide a physical copy of the itemized bill to the patient, according to the patient's chosen method of issuance, if the health care provider: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determines the patient does not have an active patient portal;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is unable to determine whether the patient has an active patient portal.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patient is entitled to obtain from the health care provider an itemized bill: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subject to Subdivision (3), on request after the itemized bill is initially issued under Subsection (a);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through the patient's chosen method of issuance in accordance with Subsection (c);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until the date the provider is no longer required to retain an itemized bill under applicable record retention laws or provider policies and procedures regarding retention of patient billing information.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health care provider may not pursue debt collection against a patient for a provided health care service or supply unless the provider has complied with this section.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271 (S.B. </w:t>
      </w:r>
      <w:hyperlink w:docLocation="table" r:id="rId15">
        <w:r>
          <w:rPr>
            <w:rStyle w:val="Hyperlink"/>
          </w:rPr>
          <w:t>490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717 (H.B. </w:t>
      </w:r>
      <w:hyperlink w:docLocation="table" r:id="rId16">
        <w:r>
          <w:rPr>
            <w:rStyle w:val="Hyperlink"/>
          </w:rPr>
          <w:t>216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185.003.</w:t>
      </w:r>
      <w:r xml:space="preserve">
        <w:t> </w:t>
      </w:r>
      <w:r xml:space="preserve">
        <w:t> </w:t>
      </w:r>
      <w:r>
        <w:t xml:space="preserve">DISCIPLINARY ACTION BY LICENSING AUTHORITY.  (a) The appropriate licensing authority shall take disciplinary action against a health care provider that violates this chapter as if the provider violated an applicable licensing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does not apply to a health care provider that in good faith mails a hard copy of an itemized bill to a patient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mailed copy is returned as undeliverable or lost;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address on file for the patient was not current at the time the itemized bill was mailed.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271 (S.B. </w:t>
      </w:r>
      <w:hyperlink w:docLocation="table" r:id="rId17">
        <w:r>
          <w:rPr>
            <w:rStyle w:val="Hyperlink"/>
          </w:rPr>
          <w:t>490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717 (H.B. </w:t>
      </w:r>
      <w:hyperlink w:docLocation="table" r:id="rId18">
        <w:r>
          <w:rPr>
            <w:rStyle w:val="Hyperlink"/>
          </w:rPr>
          <w:t>216</w:t>
        </w:r>
      </w:hyperlink>
      <w:r>
        <w:t xml:space="preserve">), Sec. 2,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0490F.HTM" TargetMode="External" Id="rId14" /><Relationship Type="http://schemas.openxmlformats.org/officeDocument/2006/relationships/hyperlink" Target="http://capitol.texas.gov/tlodocs/88R/billtext/html/SB00490F.HTM" TargetMode="External" Id="rId15" /><Relationship Type="http://schemas.openxmlformats.org/officeDocument/2006/relationships/hyperlink" Target="http://capitol.texas.gov/tlodocs/89R/billtext/html/HB00216F.HTM" TargetMode="External" Id="rId16" /><Relationship Type="http://schemas.openxmlformats.org/officeDocument/2006/relationships/hyperlink" Target="http://capitol.texas.gov/tlodocs/88R/billtext/html/SB00490F.HTM" TargetMode="External" Id="rId17" /><Relationship Type="http://schemas.openxmlformats.org/officeDocument/2006/relationships/hyperlink" Target="http://capitol.texas.gov/tlodocs/89R/billtext/html/HB00216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